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AE679" w14:textId="77777777" w:rsidR="006421F8" w:rsidRDefault="00002A36" w:rsidP="00BE3BB7">
      <w:pPr>
        <w:pStyle w:val="Title"/>
        <w:rPr>
          <w:rFonts w:cs="Arial"/>
          <w:sz w:val="22"/>
          <w:szCs w:val="22"/>
          <w:u w:val="none"/>
        </w:rPr>
      </w:pPr>
      <w:r w:rsidRPr="00002A36">
        <w:rPr>
          <w:noProof/>
          <w:u w:val="none"/>
          <w:lang w:eastAsia="en-GB"/>
        </w:rPr>
        <w:drawing>
          <wp:inline distT="0" distB="0" distL="0" distR="0" wp14:anchorId="6E3E3E45" wp14:editId="64E7CC1C">
            <wp:extent cx="2613660" cy="784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3660" cy="784860"/>
                    </a:xfrm>
                    <a:prstGeom prst="rect">
                      <a:avLst/>
                    </a:prstGeom>
                    <a:noFill/>
                    <a:ln>
                      <a:noFill/>
                    </a:ln>
                  </pic:spPr>
                </pic:pic>
              </a:graphicData>
            </a:graphic>
          </wp:inline>
        </w:drawing>
      </w:r>
    </w:p>
    <w:p w14:paraId="48E88526" w14:textId="77777777" w:rsidR="00002A36" w:rsidRDefault="00002A36" w:rsidP="00BE3BB7">
      <w:pPr>
        <w:pStyle w:val="Title"/>
        <w:rPr>
          <w:rFonts w:cs="Arial"/>
          <w:sz w:val="22"/>
          <w:szCs w:val="22"/>
          <w:u w:val="none"/>
        </w:rPr>
      </w:pPr>
    </w:p>
    <w:p w14:paraId="1B48F0CD" w14:textId="77777777" w:rsidR="0008654B" w:rsidRPr="0008654B" w:rsidRDefault="0008654B" w:rsidP="00BE3BB7">
      <w:pPr>
        <w:pStyle w:val="Title"/>
        <w:rPr>
          <w:rFonts w:cs="Arial"/>
          <w:sz w:val="36"/>
          <w:szCs w:val="22"/>
          <w:u w:val="none"/>
        </w:rPr>
      </w:pPr>
      <w:r w:rsidRPr="0008654B">
        <w:rPr>
          <w:rFonts w:cs="Arial"/>
          <w:sz w:val="36"/>
          <w:szCs w:val="22"/>
          <w:u w:val="none"/>
        </w:rPr>
        <w:t>Whistleblowing policy</w:t>
      </w:r>
    </w:p>
    <w:p w14:paraId="584AB4D3" w14:textId="59F2161D" w:rsidR="003678AE" w:rsidRDefault="003678AE">
      <w:pPr>
        <w:jc w:val="center"/>
        <w:rPr>
          <w:rFonts w:ascii="Arial" w:hAnsi="Arial" w:cs="Arial"/>
          <w:b/>
          <w:sz w:val="22"/>
          <w:szCs w:val="22"/>
          <w:u w:val="single"/>
        </w:rPr>
      </w:pPr>
    </w:p>
    <w:p w14:paraId="4507E003" w14:textId="77777777" w:rsidR="00EA7A57" w:rsidRPr="0008654B" w:rsidRDefault="00EA7A57" w:rsidP="00EA7A57">
      <w:pPr>
        <w:rPr>
          <w:rFonts w:ascii="Arial" w:hAnsi="Arial" w:cs="Arial"/>
          <w:b/>
          <w:sz w:val="24"/>
          <w:szCs w:val="24"/>
        </w:rPr>
      </w:pPr>
      <w:r w:rsidRPr="0008654B">
        <w:rPr>
          <w:rFonts w:ascii="Arial" w:hAnsi="Arial" w:cs="Arial"/>
          <w:b/>
          <w:sz w:val="24"/>
          <w:szCs w:val="24"/>
        </w:rPr>
        <w:t>Aim</w:t>
      </w:r>
    </w:p>
    <w:p w14:paraId="5A29B95E" w14:textId="63BF59E8" w:rsidR="00EA7A57" w:rsidRPr="0008654B" w:rsidRDefault="00EA7A57" w:rsidP="00EA7A57">
      <w:pPr>
        <w:pStyle w:val="ListParagraph"/>
        <w:numPr>
          <w:ilvl w:val="0"/>
          <w:numId w:val="28"/>
        </w:numPr>
        <w:rPr>
          <w:rFonts w:ascii="Arial" w:hAnsi="Arial" w:cs="Arial"/>
          <w:sz w:val="24"/>
          <w:szCs w:val="24"/>
        </w:rPr>
      </w:pPr>
      <w:r w:rsidRPr="0008654B">
        <w:rPr>
          <w:rFonts w:ascii="Arial" w:hAnsi="Arial" w:cs="Arial"/>
          <w:sz w:val="24"/>
          <w:szCs w:val="24"/>
        </w:rPr>
        <w:t xml:space="preserve">To provide </w:t>
      </w:r>
      <w:r w:rsidR="00500ED3">
        <w:rPr>
          <w:rFonts w:ascii="Arial" w:hAnsi="Arial" w:cs="Arial"/>
          <w:sz w:val="24"/>
          <w:szCs w:val="24"/>
        </w:rPr>
        <w:t>trustees</w:t>
      </w:r>
      <w:r w:rsidR="005B08BE">
        <w:rPr>
          <w:rFonts w:ascii="Arial" w:hAnsi="Arial" w:cs="Arial"/>
          <w:sz w:val="24"/>
          <w:szCs w:val="24"/>
        </w:rPr>
        <w:t>,</w:t>
      </w:r>
      <w:r w:rsidR="00500ED3">
        <w:rPr>
          <w:rFonts w:ascii="Arial" w:hAnsi="Arial" w:cs="Arial"/>
          <w:sz w:val="24"/>
          <w:szCs w:val="24"/>
        </w:rPr>
        <w:t xml:space="preserve"> </w:t>
      </w:r>
      <w:r w:rsidRPr="0008654B">
        <w:rPr>
          <w:rFonts w:ascii="Arial" w:hAnsi="Arial" w:cs="Arial"/>
          <w:sz w:val="24"/>
          <w:szCs w:val="24"/>
        </w:rPr>
        <w:t>staff and volunteers with a</w:t>
      </w:r>
      <w:r w:rsidR="00500ED3">
        <w:rPr>
          <w:rFonts w:ascii="Arial" w:hAnsi="Arial" w:cs="Arial"/>
          <w:sz w:val="24"/>
          <w:szCs w:val="24"/>
        </w:rPr>
        <w:t xml:space="preserve">n appropriate </w:t>
      </w:r>
      <w:r w:rsidRPr="0008654B">
        <w:rPr>
          <w:rFonts w:ascii="Arial" w:hAnsi="Arial" w:cs="Arial"/>
          <w:sz w:val="24"/>
          <w:szCs w:val="24"/>
        </w:rPr>
        <w:t>mechanism</w:t>
      </w:r>
      <w:r w:rsidR="00500ED3">
        <w:rPr>
          <w:rFonts w:ascii="Arial" w:hAnsi="Arial" w:cs="Arial"/>
          <w:sz w:val="24"/>
          <w:szCs w:val="24"/>
        </w:rPr>
        <w:t xml:space="preserve"> for raising concerns in relation to malpractice or criminal acts</w:t>
      </w:r>
      <w:r w:rsidR="00F304D5">
        <w:rPr>
          <w:rFonts w:ascii="Arial" w:hAnsi="Arial" w:cs="Arial"/>
          <w:sz w:val="24"/>
          <w:szCs w:val="24"/>
        </w:rPr>
        <w:t>.</w:t>
      </w:r>
    </w:p>
    <w:p w14:paraId="0DB922AB" w14:textId="77777777" w:rsidR="00EA7A57" w:rsidRPr="0008654B" w:rsidRDefault="00EA7A57" w:rsidP="00EA7A57">
      <w:pPr>
        <w:pStyle w:val="ListParagraph"/>
        <w:numPr>
          <w:ilvl w:val="0"/>
          <w:numId w:val="28"/>
        </w:numPr>
        <w:rPr>
          <w:rFonts w:ascii="Arial" w:hAnsi="Arial" w:cs="Arial"/>
          <w:sz w:val="24"/>
          <w:szCs w:val="24"/>
        </w:rPr>
      </w:pPr>
      <w:r w:rsidRPr="0008654B">
        <w:rPr>
          <w:rFonts w:ascii="Arial" w:hAnsi="Arial" w:cs="Arial"/>
          <w:sz w:val="24"/>
          <w:szCs w:val="24"/>
        </w:rPr>
        <w:t xml:space="preserve">To ensure Sutton Mencap meets its legal responsibilities in relation to whistleblowing. </w:t>
      </w:r>
    </w:p>
    <w:p w14:paraId="1273B398" w14:textId="77777777" w:rsidR="00EA7A57" w:rsidRDefault="00EA7A57" w:rsidP="00EA7A57">
      <w:pPr>
        <w:rPr>
          <w:rFonts w:ascii="Arial" w:hAnsi="Arial" w:cs="Arial"/>
          <w:sz w:val="24"/>
          <w:szCs w:val="24"/>
        </w:rPr>
      </w:pPr>
    </w:p>
    <w:p w14:paraId="7BBD8DE8" w14:textId="77777777" w:rsidR="00EA7A57" w:rsidRPr="0008654B" w:rsidRDefault="00EA7A57" w:rsidP="00EA7A57">
      <w:pPr>
        <w:rPr>
          <w:rFonts w:ascii="Arial" w:hAnsi="Arial" w:cs="Arial"/>
          <w:b/>
          <w:sz w:val="24"/>
          <w:szCs w:val="24"/>
        </w:rPr>
      </w:pPr>
      <w:r w:rsidRPr="0008654B">
        <w:rPr>
          <w:rFonts w:ascii="Arial" w:hAnsi="Arial" w:cs="Arial"/>
          <w:b/>
          <w:sz w:val="24"/>
          <w:szCs w:val="24"/>
        </w:rPr>
        <w:t>Scope</w:t>
      </w:r>
    </w:p>
    <w:p w14:paraId="31F9E642" w14:textId="77777777" w:rsidR="00EA7A57" w:rsidRPr="0008654B" w:rsidRDefault="00EA7A57" w:rsidP="00EA7A57">
      <w:pPr>
        <w:rPr>
          <w:rFonts w:ascii="Arial" w:hAnsi="Arial" w:cs="Arial"/>
          <w:sz w:val="24"/>
          <w:szCs w:val="24"/>
        </w:rPr>
      </w:pPr>
      <w:r w:rsidRPr="0008654B">
        <w:rPr>
          <w:rFonts w:ascii="Arial" w:hAnsi="Arial" w:cs="Arial"/>
          <w:sz w:val="24"/>
          <w:szCs w:val="24"/>
        </w:rPr>
        <w:t>This policy applies to all trustees, staff and volunteers at Sutton Mencap.</w:t>
      </w:r>
    </w:p>
    <w:p w14:paraId="5B0337E2" w14:textId="77777777" w:rsidR="00EA7A57" w:rsidRPr="0008654B" w:rsidRDefault="00EA7A57" w:rsidP="00EA7A57">
      <w:pPr>
        <w:rPr>
          <w:rFonts w:ascii="Arial" w:hAnsi="Arial" w:cs="Arial"/>
          <w:sz w:val="24"/>
          <w:szCs w:val="24"/>
        </w:rPr>
      </w:pPr>
    </w:p>
    <w:p w14:paraId="2583C500" w14:textId="77777777" w:rsidR="003678AE" w:rsidRPr="0008654B" w:rsidRDefault="003678AE" w:rsidP="006421F8">
      <w:pPr>
        <w:numPr>
          <w:ilvl w:val="0"/>
          <w:numId w:val="1"/>
        </w:numPr>
        <w:ind w:left="360"/>
        <w:rPr>
          <w:rFonts w:ascii="Arial" w:hAnsi="Arial" w:cs="Arial"/>
          <w:b/>
          <w:sz w:val="24"/>
          <w:szCs w:val="24"/>
        </w:rPr>
      </w:pPr>
      <w:r w:rsidRPr="0008654B">
        <w:rPr>
          <w:rFonts w:ascii="Arial" w:hAnsi="Arial" w:cs="Arial"/>
          <w:b/>
          <w:sz w:val="24"/>
          <w:szCs w:val="24"/>
        </w:rPr>
        <w:t>Introduction</w:t>
      </w:r>
    </w:p>
    <w:p w14:paraId="4B295A0E" w14:textId="7F0CF08E" w:rsidR="00EA7A57" w:rsidRPr="0008654B" w:rsidRDefault="00EA7A57" w:rsidP="00EA7A57">
      <w:pPr>
        <w:pStyle w:val="BodyText"/>
        <w:rPr>
          <w:rFonts w:cs="Arial"/>
          <w:szCs w:val="24"/>
        </w:rPr>
      </w:pPr>
      <w:r w:rsidRPr="0008654B">
        <w:rPr>
          <w:rFonts w:cs="Arial"/>
          <w:szCs w:val="24"/>
        </w:rPr>
        <w:t>Sutton Mencap encourages a culture of openness within the organisation and believes that prevention is better than cure.</w:t>
      </w:r>
      <w:r w:rsidR="00F779A8">
        <w:rPr>
          <w:rFonts w:cs="Arial"/>
          <w:szCs w:val="24"/>
        </w:rPr>
        <w:t xml:space="preserve"> </w:t>
      </w:r>
      <w:r w:rsidRPr="0008654B">
        <w:rPr>
          <w:rFonts w:cs="Arial"/>
          <w:szCs w:val="24"/>
        </w:rPr>
        <w:t>Sutton Mencap wants to prevent malpractice from occurring and to remedy it where it does occur.</w:t>
      </w:r>
      <w:r w:rsidR="00F779A8">
        <w:rPr>
          <w:rFonts w:cs="Arial"/>
          <w:szCs w:val="24"/>
        </w:rPr>
        <w:t xml:space="preserve"> </w:t>
      </w:r>
    </w:p>
    <w:p w14:paraId="0C70A8C0" w14:textId="77777777" w:rsidR="00EA7A57" w:rsidRPr="0008654B" w:rsidRDefault="00EA7A57" w:rsidP="00EA7A57">
      <w:pPr>
        <w:pStyle w:val="BodyText"/>
        <w:rPr>
          <w:rFonts w:cs="Arial"/>
          <w:szCs w:val="24"/>
        </w:rPr>
      </w:pPr>
    </w:p>
    <w:p w14:paraId="5906832C" w14:textId="077F3F9C" w:rsidR="00500ED3" w:rsidRPr="00500ED3" w:rsidRDefault="00EA7A57" w:rsidP="00500ED3">
      <w:pPr>
        <w:pStyle w:val="BodyText"/>
        <w:rPr>
          <w:rFonts w:cs="Arial"/>
          <w:szCs w:val="22"/>
        </w:rPr>
      </w:pPr>
      <w:r w:rsidRPr="0008654B">
        <w:rPr>
          <w:rFonts w:cs="Arial"/>
          <w:szCs w:val="24"/>
        </w:rPr>
        <w:t>Malpractice is taken very seriously and Sutton Mencap is committed to the highest possible standards of openness, probity and accountability.</w:t>
      </w:r>
      <w:r w:rsidR="00F779A8">
        <w:rPr>
          <w:rFonts w:cs="Arial"/>
          <w:szCs w:val="24"/>
        </w:rPr>
        <w:t xml:space="preserve"> </w:t>
      </w:r>
      <w:r w:rsidRPr="0008654B">
        <w:rPr>
          <w:rFonts w:cs="Arial"/>
          <w:szCs w:val="24"/>
        </w:rPr>
        <w:t>In line with that commitment</w:t>
      </w:r>
      <w:r w:rsidR="005B08BE">
        <w:rPr>
          <w:rFonts w:cs="Arial"/>
          <w:szCs w:val="24"/>
        </w:rPr>
        <w:t>,</w:t>
      </w:r>
      <w:r w:rsidRPr="0008654B">
        <w:rPr>
          <w:rFonts w:cs="Arial"/>
          <w:szCs w:val="24"/>
        </w:rPr>
        <w:t xml:space="preserve"> we expect all employees and others we deal with who have serious concerns about malpractice in Sutton Mencap, to come forward and voice those concerns.</w:t>
      </w:r>
      <w:r w:rsidR="00F779A8">
        <w:rPr>
          <w:rFonts w:cs="Arial"/>
          <w:sz w:val="22"/>
          <w:szCs w:val="22"/>
        </w:rPr>
        <w:t xml:space="preserve"> </w:t>
      </w:r>
      <w:r w:rsidR="00500ED3" w:rsidRPr="00500ED3">
        <w:rPr>
          <w:rFonts w:cs="Arial"/>
          <w:szCs w:val="22"/>
        </w:rPr>
        <w:t>We encourage employees to raise the matter when it is just a concern, rather than have them wait for proof or the investigation of the matter.</w:t>
      </w:r>
      <w:r w:rsidR="00F779A8">
        <w:rPr>
          <w:rFonts w:cs="Arial"/>
          <w:szCs w:val="22"/>
        </w:rPr>
        <w:t xml:space="preserve"> </w:t>
      </w:r>
      <w:r w:rsidR="00500ED3">
        <w:rPr>
          <w:rFonts w:cs="Arial"/>
          <w:szCs w:val="22"/>
        </w:rPr>
        <w:t>We aim to treat whist</w:t>
      </w:r>
      <w:r w:rsidR="00054F78">
        <w:rPr>
          <w:rFonts w:cs="Arial"/>
          <w:szCs w:val="22"/>
        </w:rPr>
        <w:t>l</w:t>
      </w:r>
      <w:r w:rsidR="00500ED3">
        <w:rPr>
          <w:rFonts w:cs="Arial"/>
          <w:szCs w:val="22"/>
        </w:rPr>
        <w:t>eblowers</w:t>
      </w:r>
      <w:r w:rsidR="00054F78">
        <w:rPr>
          <w:rFonts w:cs="Arial"/>
          <w:szCs w:val="22"/>
        </w:rPr>
        <w:t xml:space="preserve"> </w:t>
      </w:r>
      <w:r w:rsidR="00500ED3">
        <w:rPr>
          <w:rFonts w:cs="Arial"/>
          <w:szCs w:val="22"/>
        </w:rPr>
        <w:t>as witness</w:t>
      </w:r>
      <w:r w:rsidR="00F304D5">
        <w:rPr>
          <w:rFonts w:cs="Arial"/>
          <w:szCs w:val="22"/>
        </w:rPr>
        <w:t>es</w:t>
      </w:r>
      <w:r w:rsidR="00500ED3">
        <w:rPr>
          <w:rFonts w:cs="Arial"/>
          <w:szCs w:val="22"/>
        </w:rPr>
        <w:t>, rather than as complainant</w:t>
      </w:r>
      <w:r w:rsidR="00F304D5">
        <w:rPr>
          <w:rFonts w:cs="Arial"/>
          <w:szCs w:val="22"/>
        </w:rPr>
        <w:t>s</w:t>
      </w:r>
      <w:r w:rsidR="00500ED3">
        <w:rPr>
          <w:rFonts w:cs="Arial"/>
          <w:szCs w:val="22"/>
        </w:rPr>
        <w:t>.</w:t>
      </w:r>
    </w:p>
    <w:p w14:paraId="69E31C61" w14:textId="77777777" w:rsidR="00EA7A57" w:rsidRPr="0008654B" w:rsidRDefault="00EA7A57" w:rsidP="00EA7A57">
      <w:pPr>
        <w:pStyle w:val="BodyText"/>
        <w:rPr>
          <w:rFonts w:cs="Arial"/>
          <w:szCs w:val="24"/>
        </w:rPr>
      </w:pPr>
    </w:p>
    <w:p w14:paraId="48C49692" w14:textId="77777777" w:rsidR="00EA7A57" w:rsidRPr="0008654B" w:rsidRDefault="00EA7A57" w:rsidP="00EA7A57">
      <w:pPr>
        <w:pStyle w:val="BodyText"/>
        <w:rPr>
          <w:rFonts w:cs="Arial"/>
          <w:szCs w:val="24"/>
        </w:rPr>
      </w:pPr>
      <w:r w:rsidRPr="0008654B">
        <w:rPr>
          <w:rFonts w:cs="Arial"/>
          <w:szCs w:val="24"/>
        </w:rPr>
        <w:t xml:space="preserve">This policy exists to help employees raise their concerns at an early stage and in the </w:t>
      </w:r>
      <w:r w:rsidR="00FC015D">
        <w:rPr>
          <w:rFonts w:cs="Arial"/>
          <w:szCs w:val="24"/>
        </w:rPr>
        <w:t>appropriate</w:t>
      </w:r>
      <w:r w:rsidRPr="0008654B">
        <w:rPr>
          <w:rFonts w:cs="Arial"/>
          <w:szCs w:val="24"/>
        </w:rPr>
        <w:t xml:space="preserve"> way in relation to concerns regarding malpractice or illegal acts by a trustee, employee or volunteer of Sutton Mencap. The policy describes how any concerns raised under this procedure must be dealt with and the responsibilities of those involved.</w:t>
      </w:r>
    </w:p>
    <w:p w14:paraId="38D13701" w14:textId="77777777" w:rsidR="00EA7A57" w:rsidRDefault="00EA7A57" w:rsidP="00EA7A57">
      <w:pPr>
        <w:pStyle w:val="BodyText"/>
        <w:rPr>
          <w:rFonts w:cs="Arial"/>
          <w:szCs w:val="24"/>
        </w:rPr>
      </w:pPr>
    </w:p>
    <w:p w14:paraId="4D3804A5" w14:textId="77777777" w:rsidR="0008654B" w:rsidRPr="0008654B" w:rsidRDefault="0008654B" w:rsidP="0008654B">
      <w:pPr>
        <w:pStyle w:val="BodyText"/>
        <w:rPr>
          <w:rFonts w:cs="Arial"/>
          <w:szCs w:val="24"/>
        </w:rPr>
      </w:pPr>
      <w:r w:rsidRPr="0008654B">
        <w:rPr>
          <w:rFonts w:cs="Arial"/>
          <w:szCs w:val="24"/>
        </w:rPr>
        <w:t>Any person who uses this policy to make malicious accusations, which they know to be untrue, will be open to the full disciplinary process</w:t>
      </w:r>
      <w:r w:rsidR="00FC015D">
        <w:rPr>
          <w:rFonts w:cs="Arial"/>
          <w:szCs w:val="24"/>
        </w:rPr>
        <w:t>.</w:t>
      </w:r>
    </w:p>
    <w:p w14:paraId="7916FB44" w14:textId="77777777" w:rsidR="00AE7434" w:rsidRDefault="00AE7434" w:rsidP="00EA7A57">
      <w:pPr>
        <w:pStyle w:val="BodyText"/>
        <w:rPr>
          <w:rFonts w:cs="Arial"/>
          <w:szCs w:val="24"/>
        </w:rPr>
      </w:pPr>
    </w:p>
    <w:p w14:paraId="01B24AEE" w14:textId="77777777" w:rsidR="0008654B" w:rsidRPr="0008654B" w:rsidRDefault="0008654B" w:rsidP="00AE7434">
      <w:pPr>
        <w:pStyle w:val="BodyText"/>
        <w:numPr>
          <w:ilvl w:val="0"/>
          <w:numId w:val="1"/>
        </w:numPr>
        <w:ind w:left="360"/>
        <w:rPr>
          <w:rFonts w:cs="Arial"/>
          <w:b/>
          <w:szCs w:val="24"/>
        </w:rPr>
      </w:pPr>
      <w:r w:rsidRPr="0008654B">
        <w:rPr>
          <w:rFonts w:cs="Arial"/>
          <w:b/>
          <w:szCs w:val="24"/>
        </w:rPr>
        <w:t>Context</w:t>
      </w:r>
    </w:p>
    <w:p w14:paraId="2FF13D3E" w14:textId="1BFF7254" w:rsidR="0008654B" w:rsidRPr="0008654B" w:rsidRDefault="0008654B" w:rsidP="0008654B">
      <w:pPr>
        <w:pStyle w:val="BodyText"/>
        <w:rPr>
          <w:rFonts w:cs="Arial"/>
          <w:szCs w:val="24"/>
        </w:rPr>
      </w:pPr>
      <w:r w:rsidRPr="0008654B">
        <w:rPr>
          <w:rFonts w:cs="Arial"/>
          <w:szCs w:val="24"/>
        </w:rPr>
        <w:t>Under the Public Interest Disclosure Act 1998 (PIDA), and where appropriate, the Department of Health guidance “No Secrets” a worker will have the right not to suffer detriment or be unfairly dismissed as the result of speaking out about crime, fraud, miscarriages of justice, dangers to health and safety, breaches of civil service code or risks to the environment.</w:t>
      </w:r>
      <w:r w:rsidR="00F779A8">
        <w:rPr>
          <w:rFonts w:cs="Arial"/>
          <w:szCs w:val="24"/>
        </w:rPr>
        <w:t xml:space="preserve"> </w:t>
      </w:r>
    </w:p>
    <w:p w14:paraId="54C73084" w14:textId="77777777" w:rsidR="002C2161" w:rsidRPr="0008654B" w:rsidRDefault="002C2161" w:rsidP="002C2161">
      <w:pPr>
        <w:pStyle w:val="BodyText"/>
        <w:rPr>
          <w:rFonts w:cs="Arial"/>
          <w:szCs w:val="24"/>
        </w:rPr>
      </w:pPr>
    </w:p>
    <w:p w14:paraId="789D233F" w14:textId="269D927A" w:rsidR="002C2161" w:rsidRPr="0008654B" w:rsidRDefault="002C2161" w:rsidP="002C2161">
      <w:pPr>
        <w:pStyle w:val="BodyText"/>
        <w:rPr>
          <w:rFonts w:cs="Arial"/>
          <w:szCs w:val="24"/>
        </w:rPr>
      </w:pPr>
      <w:r w:rsidRPr="0008654B">
        <w:rPr>
          <w:rFonts w:cs="Arial"/>
          <w:szCs w:val="24"/>
        </w:rPr>
        <w:t>This policy is designed to afford protection to any employee who discloses information of a specified category to a specified individual in a specified circumstance.</w:t>
      </w:r>
      <w:r w:rsidR="00F779A8">
        <w:rPr>
          <w:rFonts w:cs="Arial"/>
          <w:szCs w:val="24"/>
        </w:rPr>
        <w:t xml:space="preserve"> </w:t>
      </w:r>
      <w:r w:rsidRPr="0008654B">
        <w:rPr>
          <w:rFonts w:cs="Arial"/>
          <w:szCs w:val="24"/>
        </w:rPr>
        <w:t xml:space="preserve"> This policy has been introduced in line with the best practice advised </w:t>
      </w:r>
      <w:r w:rsidRPr="0008654B">
        <w:rPr>
          <w:rFonts w:cs="Arial"/>
          <w:szCs w:val="24"/>
        </w:rPr>
        <w:lastRenderedPageBreak/>
        <w:t>by the PIDA 1998.</w:t>
      </w:r>
      <w:r w:rsidR="00F779A8">
        <w:rPr>
          <w:rFonts w:cs="Arial"/>
          <w:szCs w:val="24"/>
        </w:rPr>
        <w:t xml:space="preserve"> </w:t>
      </w:r>
      <w:r w:rsidRPr="0008654B">
        <w:rPr>
          <w:rFonts w:cs="Arial"/>
          <w:szCs w:val="24"/>
        </w:rPr>
        <w:t xml:space="preserve"> It enables employee(s) to raise, at an early stage and in the right way, concerns about malpractices or illegal act</w:t>
      </w:r>
      <w:r w:rsidR="00160807">
        <w:rPr>
          <w:rFonts w:cs="Arial"/>
          <w:szCs w:val="24"/>
        </w:rPr>
        <w:t>.</w:t>
      </w:r>
    </w:p>
    <w:p w14:paraId="3F5E2C49" w14:textId="77777777" w:rsidR="002C2161" w:rsidRPr="0008654B" w:rsidRDefault="002C2161" w:rsidP="002C2161">
      <w:pPr>
        <w:pStyle w:val="BodyText"/>
        <w:rPr>
          <w:rFonts w:cs="Arial"/>
          <w:szCs w:val="24"/>
        </w:rPr>
      </w:pPr>
    </w:p>
    <w:p w14:paraId="1AD5C4DD" w14:textId="77777777" w:rsidR="0008654B" w:rsidRPr="0008654B" w:rsidRDefault="0008654B" w:rsidP="0008654B">
      <w:pPr>
        <w:pStyle w:val="BodyText"/>
        <w:rPr>
          <w:rFonts w:cs="Arial"/>
          <w:szCs w:val="24"/>
        </w:rPr>
      </w:pPr>
      <w:r w:rsidRPr="0008654B">
        <w:rPr>
          <w:rFonts w:cs="Arial"/>
          <w:szCs w:val="24"/>
        </w:rPr>
        <w:t xml:space="preserve">The </w:t>
      </w:r>
      <w:r>
        <w:rPr>
          <w:rFonts w:cs="Arial"/>
          <w:szCs w:val="24"/>
        </w:rPr>
        <w:t>w</w:t>
      </w:r>
      <w:r w:rsidRPr="0008654B">
        <w:rPr>
          <w:rFonts w:cs="Arial"/>
          <w:szCs w:val="24"/>
        </w:rPr>
        <w:t>histleblower must reasonably believe that one of the conditions that constitutes a qualifying disclosure is occurring, and must make the disclosure in good faith and not for personal gain.</w:t>
      </w:r>
    </w:p>
    <w:p w14:paraId="15EE0BAF" w14:textId="77777777" w:rsidR="002C2161" w:rsidRDefault="002C2161" w:rsidP="0008654B">
      <w:pPr>
        <w:pStyle w:val="BodyText"/>
        <w:rPr>
          <w:rFonts w:cs="Arial"/>
          <w:szCs w:val="24"/>
        </w:rPr>
      </w:pPr>
    </w:p>
    <w:p w14:paraId="6842F14B" w14:textId="77777777" w:rsidR="002C2161" w:rsidRPr="00DF13B2" w:rsidRDefault="002C2161" w:rsidP="002C2161">
      <w:pPr>
        <w:pStyle w:val="BodyText"/>
        <w:numPr>
          <w:ilvl w:val="0"/>
          <w:numId w:val="1"/>
        </w:numPr>
        <w:ind w:left="360"/>
        <w:rPr>
          <w:rFonts w:cs="Arial"/>
          <w:b/>
          <w:szCs w:val="22"/>
        </w:rPr>
      </w:pPr>
      <w:r w:rsidRPr="00DF13B2">
        <w:rPr>
          <w:rFonts w:cs="Arial"/>
          <w:b/>
          <w:szCs w:val="22"/>
        </w:rPr>
        <w:t>Definition</w:t>
      </w:r>
      <w:r>
        <w:rPr>
          <w:rFonts w:cs="Arial"/>
          <w:b/>
          <w:szCs w:val="22"/>
        </w:rPr>
        <w:t>s</w:t>
      </w:r>
    </w:p>
    <w:p w14:paraId="6B2FB757" w14:textId="77777777" w:rsidR="002C2161" w:rsidRPr="0008654B" w:rsidRDefault="002C2161" w:rsidP="002C2161">
      <w:pPr>
        <w:pStyle w:val="BodyText"/>
        <w:rPr>
          <w:rFonts w:cs="Arial"/>
          <w:szCs w:val="24"/>
        </w:rPr>
      </w:pPr>
      <w:r w:rsidRPr="0008654B">
        <w:rPr>
          <w:rFonts w:cs="Arial"/>
          <w:szCs w:val="24"/>
        </w:rPr>
        <w:t>The word whistleblower, in this policy, refer</w:t>
      </w:r>
      <w:r>
        <w:rPr>
          <w:rFonts w:cs="Arial"/>
          <w:szCs w:val="24"/>
        </w:rPr>
        <w:t>s</w:t>
      </w:r>
      <w:r w:rsidRPr="0008654B">
        <w:rPr>
          <w:rFonts w:cs="Arial"/>
          <w:szCs w:val="24"/>
        </w:rPr>
        <w:t xml:space="preserve"> to someone who makes a disclosure of malpractice.</w:t>
      </w:r>
      <w:r w:rsidRPr="002C2161">
        <w:rPr>
          <w:rFonts w:cs="Arial"/>
          <w:szCs w:val="24"/>
        </w:rPr>
        <w:t xml:space="preserve"> </w:t>
      </w:r>
      <w:r w:rsidRPr="0008654B">
        <w:rPr>
          <w:rFonts w:cs="Arial"/>
          <w:szCs w:val="24"/>
        </w:rPr>
        <w:t>A qualifying disclosure means any disclosure of information, which in the reasonable belief of the worker making the disclosure tends to show one or more of the following:</w:t>
      </w:r>
    </w:p>
    <w:p w14:paraId="2099706E" w14:textId="77777777" w:rsidR="002C2161" w:rsidRPr="0008654B" w:rsidRDefault="002C2161" w:rsidP="002C2161">
      <w:pPr>
        <w:pStyle w:val="BodyText"/>
        <w:numPr>
          <w:ilvl w:val="0"/>
          <w:numId w:val="29"/>
        </w:numPr>
        <w:rPr>
          <w:rFonts w:cs="Arial"/>
          <w:szCs w:val="24"/>
        </w:rPr>
      </w:pPr>
      <w:r w:rsidRPr="0008654B">
        <w:rPr>
          <w:rFonts w:cs="Arial"/>
          <w:szCs w:val="24"/>
        </w:rPr>
        <w:t>that a criminal offence has been committed, is being committed or is likely to be committed</w:t>
      </w:r>
    </w:p>
    <w:p w14:paraId="397AEE20" w14:textId="77777777" w:rsidR="002C2161" w:rsidRPr="0008654B" w:rsidRDefault="002C2161" w:rsidP="002C2161">
      <w:pPr>
        <w:pStyle w:val="BodyText"/>
        <w:numPr>
          <w:ilvl w:val="0"/>
          <w:numId w:val="29"/>
        </w:numPr>
        <w:rPr>
          <w:rFonts w:cs="Arial"/>
          <w:szCs w:val="24"/>
        </w:rPr>
      </w:pPr>
      <w:r w:rsidRPr="0008654B">
        <w:rPr>
          <w:rFonts w:cs="Arial"/>
          <w:szCs w:val="24"/>
        </w:rPr>
        <w:t>that a person has failed, is failing or is likely to fail to comply with any legal obligation to which s/he is subject</w:t>
      </w:r>
    </w:p>
    <w:p w14:paraId="3C0E0403" w14:textId="77777777" w:rsidR="002C2161" w:rsidRPr="0008654B" w:rsidRDefault="002C2161" w:rsidP="002C2161">
      <w:pPr>
        <w:pStyle w:val="BodyText"/>
        <w:numPr>
          <w:ilvl w:val="0"/>
          <w:numId w:val="29"/>
        </w:numPr>
        <w:rPr>
          <w:rFonts w:cs="Arial"/>
          <w:szCs w:val="24"/>
        </w:rPr>
      </w:pPr>
      <w:r w:rsidRPr="0008654B">
        <w:rPr>
          <w:rFonts w:cs="Arial"/>
          <w:szCs w:val="24"/>
        </w:rPr>
        <w:t>that a miscarriage of justice has occurred, is occurring or is likely to occur</w:t>
      </w:r>
    </w:p>
    <w:p w14:paraId="00BCBE63" w14:textId="77777777" w:rsidR="002C2161" w:rsidRPr="0008654B" w:rsidRDefault="002C2161" w:rsidP="002C2161">
      <w:pPr>
        <w:pStyle w:val="BodyText"/>
        <w:numPr>
          <w:ilvl w:val="0"/>
          <w:numId w:val="29"/>
        </w:numPr>
        <w:rPr>
          <w:rFonts w:cs="Arial"/>
          <w:szCs w:val="24"/>
        </w:rPr>
      </w:pPr>
      <w:r w:rsidRPr="0008654B">
        <w:rPr>
          <w:rFonts w:cs="Arial"/>
          <w:szCs w:val="24"/>
        </w:rPr>
        <w:t>that the health and safety of any individual has been, is being or is likely to be en</w:t>
      </w:r>
      <w:r>
        <w:rPr>
          <w:rFonts w:cs="Arial"/>
          <w:szCs w:val="24"/>
        </w:rPr>
        <w:t>d</w:t>
      </w:r>
      <w:r w:rsidRPr="0008654B">
        <w:rPr>
          <w:rFonts w:cs="Arial"/>
          <w:szCs w:val="24"/>
        </w:rPr>
        <w:t>angered</w:t>
      </w:r>
    </w:p>
    <w:p w14:paraId="63E08087" w14:textId="77777777" w:rsidR="002C2161" w:rsidRDefault="002C2161" w:rsidP="002C2161">
      <w:pPr>
        <w:pStyle w:val="BodyText"/>
        <w:rPr>
          <w:rFonts w:cs="Arial"/>
          <w:szCs w:val="22"/>
        </w:rPr>
      </w:pPr>
    </w:p>
    <w:p w14:paraId="36AFAD76" w14:textId="77777777" w:rsidR="002C2161" w:rsidRPr="00DF13B2" w:rsidRDefault="002C2161" w:rsidP="002C2161">
      <w:pPr>
        <w:pStyle w:val="BodyText"/>
        <w:rPr>
          <w:rFonts w:cs="Arial"/>
          <w:szCs w:val="22"/>
        </w:rPr>
      </w:pPr>
      <w:r w:rsidRPr="00DF13B2">
        <w:rPr>
          <w:rFonts w:cs="Arial"/>
          <w:szCs w:val="22"/>
        </w:rPr>
        <w:t>Section 43A of the Employment Rights Act (ERA) 1996 defines a “protected disclosure” as a qualifying disclosure which is made to:</w:t>
      </w:r>
    </w:p>
    <w:p w14:paraId="0C9E54D2" w14:textId="77777777" w:rsidR="002C2161" w:rsidRPr="00DF13B2" w:rsidRDefault="002C2161" w:rsidP="002C2161">
      <w:pPr>
        <w:pStyle w:val="BodyText"/>
        <w:numPr>
          <w:ilvl w:val="0"/>
          <w:numId w:val="22"/>
        </w:numPr>
        <w:rPr>
          <w:rFonts w:cs="Arial"/>
          <w:szCs w:val="22"/>
        </w:rPr>
      </w:pPr>
      <w:r w:rsidRPr="00DF13B2">
        <w:rPr>
          <w:rFonts w:cs="Arial"/>
          <w:szCs w:val="22"/>
        </w:rPr>
        <w:t>the worker’s employer or to another responsible person</w:t>
      </w:r>
    </w:p>
    <w:p w14:paraId="3128C4AC" w14:textId="77777777" w:rsidR="002C2161" w:rsidRPr="00DF13B2" w:rsidRDefault="002C2161" w:rsidP="002C2161">
      <w:pPr>
        <w:pStyle w:val="BodyText"/>
        <w:numPr>
          <w:ilvl w:val="0"/>
          <w:numId w:val="22"/>
        </w:numPr>
        <w:rPr>
          <w:rFonts w:cs="Arial"/>
          <w:szCs w:val="22"/>
        </w:rPr>
      </w:pPr>
      <w:r w:rsidRPr="00DF13B2">
        <w:rPr>
          <w:rFonts w:cs="Arial"/>
          <w:szCs w:val="22"/>
        </w:rPr>
        <w:t>a legal adviser in the course of obtaining legal advice;</w:t>
      </w:r>
    </w:p>
    <w:p w14:paraId="040DBFCC" w14:textId="77777777" w:rsidR="002C2161" w:rsidRPr="00DF13B2" w:rsidRDefault="002C2161" w:rsidP="002C2161">
      <w:pPr>
        <w:pStyle w:val="BodyText"/>
        <w:numPr>
          <w:ilvl w:val="0"/>
          <w:numId w:val="22"/>
        </w:numPr>
        <w:rPr>
          <w:rFonts w:cs="Arial"/>
          <w:szCs w:val="22"/>
        </w:rPr>
      </w:pPr>
      <w:r w:rsidRPr="00DF13B2">
        <w:rPr>
          <w:rFonts w:cs="Arial"/>
          <w:szCs w:val="22"/>
        </w:rPr>
        <w:t>a minister of the crown</w:t>
      </w:r>
    </w:p>
    <w:p w14:paraId="1E83A943" w14:textId="77777777" w:rsidR="002C2161" w:rsidRPr="00DF13B2" w:rsidRDefault="002C2161" w:rsidP="002C2161">
      <w:pPr>
        <w:pStyle w:val="BodyText"/>
        <w:numPr>
          <w:ilvl w:val="0"/>
          <w:numId w:val="22"/>
        </w:numPr>
        <w:rPr>
          <w:rFonts w:cs="Arial"/>
          <w:szCs w:val="22"/>
        </w:rPr>
      </w:pPr>
      <w:r w:rsidRPr="00DF13B2">
        <w:rPr>
          <w:rFonts w:cs="Arial"/>
          <w:szCs w:val="22"/>
        </w:rPr>
        <w:t>a person prescribed by the Secretary of State (for example the bodies listed appendix 1 and others)</w:t>
      </w:r>
    </w:p>
    <w:p w14:paraId="3C013300" w14:textId="77777777" w:rsidR="002C2161" w:rsidRPr="00DF13B2" w:rsidRDefault="002C2161" w:rsidP="002C2161">
      <w:pPr>
        <w:pStyle w:val="BodyText"/>
        <w:numPr>
          <w:ilvl w:val="0"/>
          <w:numId w:val="22"/>
        </w:numPr>
        <w:rPr>
          <w:rFonts w:cs="Arial"/>
          <w:szCs w:val="22"/>
        </w:rPr>
      </w:pPr>
      <w:r w:rsidRPr="00DF13B2">
        <w:rPr>
          <w:rFonts w:cs="Arial"/>
          <w:szCs w:val="22"/>
        </w:rPr>
        <w:t>any other person, where under all the circumstances it is reasonable to do so</w:t>
      </w:r>
    </w:p>
    <w:p w14:paraId="150E61AB" w14:textId="77777777" w:rsidR="002C2161" w:rsidRPr="00DF13B2" w:rsidRDefault="002C2161" w:rsidP="002C2161">
      <w:pPr>
        <w:pStyle w:val="BodyText"/>
        <w:rPr>
          <w:rFonts w:cs="Arial"/>
          <w:szCs w:val="22"/>
        </w:rPr>
      </w:pPr>
    </w:p>
    <w:p w14:paraId="63C5885A" w14:textId="25245E48" w:rsidR="002C2161" w:rsidRPr="00DF13B2" w:rsidRDefault="002C2161" w:rsidP="002C2161">
      <w:pPr>
        <w:pStyle w:val="BodyText"/>
        <w:rPr>
          <w:rFonts w:cs="Arial"/>
          <w:szCs w:val="22"/>
        </w:rPr>
      </w:pPr>
      <w:r w:rsidRPr="00DF13B2">
        <w:rPr>
          <w:rFonts w:cs="Arial"/>
          <w:szCs w:val="22"/>
        </w:rPr>
        <w:t>In addition, if a disclosure is to be protected, it must be made in good faith and without malice.</w:t>
      </w:r>
      <w:r w:rsidR="00F779A8">
        <w:rPr>
          <w:rFonts w:cs="Arial"/>
          <w:szCs w:val="22"/>
        </w:rPr>
        <w:t xml:space="preserve"> </w:t>
      </w:r>
      <w:r w:rsidRPr="00DF13B2">
        <w:rPr>
          <w:rFonts w:cs="Arial"/>
          <w:szCs w:val="22"/>
        </w:rPr>
        <w:t xml:space="preserve">Protection will not extend to disclosures made by an individual that are known to be untrue to that individual at the time such disclosure is made, or </w:t>
      </w:r>
      <w:r w:rsidR="00160807">
        <w:rPr>
          <w:rFonts w:cs="Arial"/>
          <w:szCs w:val="22"/>
        </w:rPr>
        <w:t>a</w:t>
      </w:r>
      <w:r w:rsidRPr="00DF13B2">
        <w:rPr>
          <w:rFonts w:cs="Arial"/>
          <w:szCs w:val="22"/>
        </w:rPr>
        <w:t>ny disclosure made for personal gain.</w:t>
      </w:r>
    </w:p>
    <w:p w14:paraId="2C0CDD7B" w14:textId="77777777" w:rsidR="002C2161" w:rsidRPr="00DF13B2" w:rsidRDefault="002C2161" w:rsidP="002C2161">
      <w:pPr>
        <w:pStyle w:val="BodyText"/>
        <w:rPr>
          <w:rFonts w:cs="Arial"/>
          <w:szCs w:val="22"/>
        </w:rPr>
      </w:pPr>
    </w:p>
    <w:p w14:paraId="04998A09" w14:textId="77777777" w:rsidR="002C2161" w:rsidRPr="00DF13B2" w:rsidRDefault="002C2161" w:rsidP="002C2161">
      <w:pPr>
        <w:pStyle w:val="BodyText"/>
        <w:rPr>
          <w:rFonts w:cs="Arial"/>
          <w:szCs w:val="22"/>
        </w:rPr>
      </w:pPr>
      <w:r w:rsidRPr="00DF13B2">
        <w:rPr>
          <w:rFonts w:cs="Arial"/>
          <w:szCs w:val="22"/>
        </w:rPr>
        <w:t>Section 43</w:t>
      </w:r>
      <w:proofErr w:type="gramStart"/>
      <w:r w:rsidRPr="00DF13B2">
        <w:rPr>
          <w:rFonts w:cs="Arial"/>
          <w:szCs w:val="22"/>
        </w:rPr>
        <w:t>B(</w:t>
      </w:r>
      <w:proofErr w:type="gramEnd"/>
      <w:r w:rsidRPr="00DF13B2">
        <w:rPr>
          <w:rFonts w:cs="Arial"/>
          <w:szCs w:val="22"/>
        </w:rPr>
        <w:t>1) of the ERA 1996 defines a “qualifying disclosure” as one which a worker reasonably believes tends to show a matter falling into one or more of the following:</w:t>
      </w:r>
    </w:p>
    <w:p w14:paraId="1151204A" w14:textId="77777777" w:rsidR="002C2161" w:rsidRPr="00DF13B2" w:rsidRDefault="002C2161" w:rsidP="002C2161">
      <w:pPr>
        <w:pStyle w:val="BodyText"/>
        <w:numPr>
          <w:ilvl w:val="0"/>
          <w:numId w:val="23"/>
        </w:numPr>
        <w:rPr>
          <w:rFonts w:cs="Arial"/>
          <w:szCs w:val="22"/>
        </w:rPr>
      </w:pPr>
      <w:r w:rsidRPr="00DF13B2">
        <w:rPr>
          <w:rFonts w:cs="Arial"/>
          <w:szCs w:val="22"/>
        </w:rPr>
        <w:t>a criminal offence</w:t>
      </w:r>
    </w:p>
    <w:p w14:paraId="70506004" w14:textId="77777777" w:rsidR="002C2161" w:rsidRPr="00DF13B2" w:rsidRDefault="002C2161" w:rsidP="002C2161">
      <w:pPr>
        <w:pStyle w:val="BodyText"/>
        <w:numPr>
          <w:ilvl w:val="0"/>
          <w:numId w:val="23"/>
        </w:numPr>
        <w:rPr>
          <w:rFonts w:cs="Arial"/>
          <w:szCs w:val="22"/>
        </w:rPr>
      </w:pPr>
      <w:r w:rsidRPr="00DF13B2">
        <w:rPr>
          <w:rFonts w:cs="Arial"/>
          <w:szCs w:val="22"/>
        </w:rPr>
        <w:t>a failure to comply with any legal obligation (this includes breaches of contract as well as breaches of statutory duty)</w:t>
      </w:r>
    </w:p>
    <w:p w14:paraId="56806EF1" w14:textId="77777777" w:rsidR="002C2161" w:rsidRPr="00DF13B2" w:rsidRDefault="002C2161" w:rsidP="002C2161">
      <w:pPr>
        <w:pStyle w:val="BodyText"/>
        <w:numPr>
          <w:ilvl w:val="0"/>
          <w:numId w:val="23"/>
        </w:numPr>
        <w:rPr>
          <w:rFonts w:cs="Arial"/>
          <w:szCs w:val="22"/>
        </w:rPr>
      </w:pPr>
      <w:r w:rsidRPr="00DF13B2">
        <w:rPr>
          <w:rFonts w:cs="Arial"/>
          <w:szCs w:val="22"/>
        </w:rPr>
        <w:t>a miscarriage of justice</w:t>
      </w:r>
    </w:p>
    <w:p w14:paraId="182CE633" w14:textId="77777777" w:rsidR="002C2161" w:rsidRPr="00DF13B2" w:rsidRDefault="002C2161" w:rsidP="002C2161">
      <w:pPr>
        <w:pStyle w:val="BodyText"/>
        <w:numPr>
          <w:ilvl w:val="0"/>
          <w:numId w:val="23"/>
        </w:numPr>
        <w:rPr>
          <w:rFonts w:cs="Arial"/>
          <w:szCs w:val="22"/>
        </w:rPr>
      </w:pPr>
      <w:r w:rsidRPr="00DF13B2">
        <w:rPr>
          <w:rFonts w:cs="Arial"/>
          <w:szCs w:val="22"/>
        </w:rPr>
        <w:t>danger to the health and safety of any individual</w:t>
      </w:r>
    </w:p>
    <w:p w14:paraId="0D87F36B" w14:textId="77777777" w:rsidR="002C2161" w:rsidRPr="00DF13B2" w:rsidRDefault="002C2161" w:rsidP="002C2161">
      <w:pPr>
        <w:pStyle w:val="BodyText"/>
        <w:numPr>
          <w:ilvl w:val="0"/>
          <w:numId w:val="23"/>
        </w:numPr>
        <w:rPr>
          <w:rFonts w:cs="Arial"/>
          <w:szCs w:val="22"/>
        </w:rPr>
      </w:pPr>
      <w:r w:rsidRPr="00DF13B2">
        <w:rPr>
          <w:rFonts w:cs="Arial"/>
          <w:szCs w:val="22"/>
        </w:rPr>
        <w:t>damage to the environment</w:t>
      </w:r>
    </w:p>
    <w:p w14:paraId="33920EE3" w14:textId="77777777" w:rsidR="002C2161" w:rsidRPr="00DF13B2" w:rsidRDefault="002C2161" w:rsidP="002C2161">
      <w:pPr>
        <w:pStyle w:val="BodyText"/>
        <w:numPr>
          <w:ilvl w:val="0"/>
          <w:numId w:val="23"/>
        </w:numPr>
        <w:rPr>
          <w:rFonts w:cs="Arial"/>
          <w:szCs w:val="22"/>
        </w:rPr>
      </w:pPr>
      <w:r w:rsidRPr="00DF13B2">
        <w:rPr>
          <w:rFonts w:cs="Arial"/>
          <w:szCs w:val="22"/>
        </w:rPr>
        <w:t>the deliberate concealment of information tending to show any of the matters listed above.</w:t>
      </w:r>
    </w:p>
    <w:p w14:paraId="0551EB17" w14:textId="77777777" w:rsidR="0008654B" w:rsidRDefault="0008654B" w:rsidP="00EA7A57">
      <w:pPr>
        <w:pStyle w:val="BodyText"/>
        <w:rPr>
          <w:rFonts w:cs="Arial"/>
          <w:szCs w:val="24"/>
        </w:rPr>
      </w:pPr>
    </w:p>
    <w:p w14:paraId="32B495EA" w14:textId="77777777" w:rsidR="00093068" w:rsidRPr="00093068" w:rsidRDefault="00093068" w:rsidP="00AE7434">
      <w:pPr>
        <w:pStyle w:val="BodyText"/>
        <w:numPr>
          <w:ilvl w:val="0"/>
          <w:numId w:val="1"/>
        </w:numPr>
        <w:ind w:left="360"/>
        <w:rPr>
          <w:rFonts w:cs="Arial"/>
          <w:b/>
          <w:szCs w:val="24"/>
        </w:rPr>
      </w:pPr>
      <w:r w:rsidRPr="00093068">
        <w:rPr>
          <w:rFonts w:cs="Arial"/>
          <w:b/>
          <w:szCs w:val="24"/>
        </w:rPr>
        <w:t>Raising a concern</w:t>
      </w:r>
    </w:p>
    <w:p w14:paraId="54E81390" w14:textId="15E43BDE" w:rsidR="00093068" w:rsidRDefault="00AE7434" w:rsidP="00EA7A57">
      <w:pPr>
        <w:pStyle w:val="BodyText"/>
        <w:rPr>
          <w:rFonts w:cs="Arial"/>
          <w:szCs w:val="24"/>
        </w:rPr>
      </w:pPr>
      <w:r w:rsidRPr="00AE7434">
        <w:rPr>
          <w:rFonts w:cs="Arial"/>
          <w:szCs w:val="24"/>
        </w:rPr>
        <w:t>The aim of the PIDA is to encourage the disclosure of information through the appropriate internal channels first, or through appropriate external bodies.</w:t>
      </w:r>
      <w:r w:rsidR="00F779A8">
        <w:rPr>
          <w:rFonts w:cs="Arial"/>
          <w:szCs w:val="24"/>
        </w:rPr>
        <w:t xml:space="preserve"> </w:t>
      </w:r>
      <w:r w:rsidRPr="00AE7434">
        <w:rPr>
          <w:rFonts w:cs="Arial"/>
          <w:szCs w:val="24"/>
        </w:rPr>
        <w:t xml:space="preserve">As a </w:t>
      </w:r>
      <w:r w:rsidRPr="00AE7434">
        <w:rPr>
          <w:rFonts w:cs="Arial"/>
          <w:szCs w:val="24"/>
        </w:rPr>
        <w:lastRenderedPageBreak/>
        <w:t>result, it should be relatively easy to disclose information to an employer</w:t>
      </w:r>
      <w:r>
        <w:rPr>
          <w:rFonts w:cs="Arial"/>
          <w:szCs w:val="24"/>
        </w:rPr>
        <w:t xml:space="preserve"> or appropriate external bodies and </w:t>
      </w:r>
      <w:r w:rsidRPr="00AE7434">
        <w:rPr>
          <w:rFonts w:cs="Arial"/>
          <w:szCs w:val="24"/>
        </w:rPr>
        <w:t>gain protection a</w:t>
      </w:r>
      <w:r>
        <w:rPr>
          <w:rFonts w:cs="Arial"/>
          <w:szCs w:val="24"/>
        </w:rPr>
        <w:t>gainst dismissal or detriment.</w:t>
      </w:r>
    </w:p>
    <w:p w14:paraId="6643682E" w14:textId="77777777" w:rsidR="00093068" w:rsidRDefault="00093068" w:rsidP="00EA7A57">
      <w:pPr>
        <w:pStyle w:val="BodyText"/>
        <w:rPr>
          <w:rFonts w:cs="Arial"/>
          <w:szCs w:val="24"/>
        </w:rPr>
      </w:pPr>
    </w:p>
    <w:p w14:paraId="4300A9FE" w14:textId="04CF93C0" w:rsidR="00AE7434" w:rsidRPr="00102C92" w:rsidRDefault="00AE7434" w:rsidP="00AE7434">
      <w:pPr>
        <w:pStyle w:val="BodyText"/>
        <w:rPr>
          <w:rFonts w:cs="Arial"/>
          <w:szCs w:val="22"/>
        </w:rPr>
      </w:pPr>
      <w:r w:rsidRPr="00102C92">
        <w:rPr>
          <w:rFonts w:cs="Arial"/>
          <w:szCs w:val="22"/>
        </w:rPr>
        <w:t xml:space="preserve">Sutton Mencap recognises that the independent charity </w:t>
      </w:r>
      <w:r w:rsidR="00B826BE" w:rsidRPr="00102C92">
        <w:rPr>
          <w:rFonts w:cs="Arial"/>
          <w:szCs w:val="22"/>
        </w:rPr>
        <w:t>Protect (</w:t>
      </w:r>
      <w:r w:rsidR="00B13E4D" w:rsidRPr="00102C92">
        <w:rPr>
          <w:rFonts w:cs="Arial"/>
          <w:szCs w:val="22"/>
        </w:rPr>
        <w:t xml:space="preserve">previously known as </w:t>
      </w:r>
      <w:r w:rsidRPr="00102C92">
        <w:rPr>
          <w:rFonts w:cs="Arial"/>
          <w:szCs w:val="22"/>
        </w:rPr>
        <w:t>Public Concern at Work</w:t>
      </w:r>
      <w:r w:rsidR="00B13E4D" w:rsidRPr="00102C92">
        <w:rPr>
          <w:rFonts w:cs="Arial"/>
          <w:szCs w:val="22"/>
        </w:rPr>
        <w:t>)</w:t>
      </w:r>
      <w:r w:rsidRPr="00102C92">
        <w:rPr>
          <w:rFonts w:cs="Arial"/>
          <w:szCs w:val="22"/>
        </w:rPr>
        <w:t xml:space="preserve"> can offer help throughout this process.</w:t>
      </w:r>
      <w:r w:rsidR="00F779A8" w:rsidRPr="00102C92">
        <w:rPr>
          <w:rFonts w:cs="Arial"/>
          <w:szCs w:val="22"/>
        </w:rPr>
        <w:t xml:space="preserve"> </w:t>
      </w:r>
      <w:r w:rsidRPr="00102C92">
        <w:rPr>
          <w:rFonts w:cs="Arial"/>
          <w:szCs w:val="22"/>
        </w:rPr>
        <w:t xml:space="preserve"> This organisation </w:t>
      </w:r>
      <w:r w:rsidR="0069023A" w:rsidRPr="00102C92">
        <w:rPr>
          <w:rFonts w:cs="Arial"/>
          <w:szCs w:val="22"/>
        </w:rPr>
        <w:t xml:space="preserve">can be contacted on 020 3117 2520 and </w:t>
      </w:r>
      <w:r w:rsidRPr="00102C92">
        <w:rPr>
          <w:rFonts w:cs="Arial"/>
          <w:szCs w:val="22"/>
        </w:rPr>
        <w:t>will give independent advice if a person is unsure how, or whether, to raise a concern under this policy.</w:t>
      </w:r>
    </w:p>
    <w:p w14:paraId="0B8643BA" w14:textId="77777777" w:rsidR="00906959" w:rsidRDefault="00906959" w:rsidP="00AE7434">
      <w:pPr>
        <w:pStyle w:val="BodyText"/>
        <w:rPr>
          <w:rFonts w:cs="Arial"/>
          <w:szCs w:val="22"/>
        </w:rPr>
      </w:pPr>
    </w:p>
    <w:p w14:paraId="38E0F0DE" w14:textId="2820F78F" w:rsidR="00906959" w:rsidRDefault="00906959" w:rsidP="00906959">
      <w:pPr>
        <w:pStyle w:val="BodyText"/>
        <w:rPr>
          <w:rFonts w:cs="Arial"/>
          <w:szCs w:val="22"/>
        </w:rPr>
      </w:pPr>
      <w:r>
        <w:rPr>
          <w:rFonts w:cs="Arial"/>
          <w:szCs w:val="22"/>
        </w:rPr>
        <w:t xml:space="preserve">In relation to concerns regarding safeguarding children and young people, staff can also seek advice from the NSPCC whistleblowing advice line: telephone </w:t>
      </w:r>
      <w:r w:rsidRPr="00906959">
        <w:rPr>
          <w:rFonts w:cs="Arial"/>
          <w:szCs w:val="22"/>
        </w:rPr>
        <w:t>0800 028 0285</w:t>
      </w:r>
      <w:r>
        <w:rPr>
          <w:rFonts w:cs="Arial"/>
          <w:szCs w:val="22"/>
        </w:rPr>
        <w:t xml:space="preserve"> or </w:t>
      </w:r>
      <w:r w:rsidRPr="00906959">
        <w:rPr>
          <w:rFonts w:cs="Arial"/>
          <w:szCs w:val="22"/>
        </w:rPr>
        <w:t xml:space="preserve">Email </w:t>
      </w:r>
      <w:hyperlink r:id="rId12" w:history="1">
        <w:r w:rsidRPr="00C74E6A">
          <w:rPr>
            <w:rStyle w:val="Hyperlink"/>
            <w:rFonts w:cs="Arial"/>
            <w:szCs w:val="22"/>
          </w:rPr>
          <w:t>help@nspcc.org.uk</w:t>
        </w:r>
      </w:hyperlink>
    </w:p>
    <w:p w14:paraId="28853444" w14:textId="77777777" w:rsidR="00AE7434" w:rsidRPr="0008654B" w:rsidRDefault="00AE7434" w:rsidP="00EA7A57">
      <w:pPr>
        <w:pStyle w:val="BodyText"/>
        <w:rPr>
          <w:rFonts w:cs="Arial"/>
          <w:szCs w:val="24"/>
        </w:rPr>
      </w:pPr>
    </w:p>
    <w:p w14:paraId="1932D059" w14:textId="77777777" w:rsidR="00EA7A57" w:rsidRPr="00AE7434" w:rsidRDefault="0008654B" w:rsidP="00EA7A57">
      <w:pPr>
        <w:pStyle w:val="BodyText"/>
        <w:rPr>
          <w:rFonts w:cs="Arial"/>
          <w:b/>
          <w:szCs w:val="24"/>
        </w:rPr>
      </w:pPr>
      <w:r w:rsidRPr="00AE7434">
        <w:rPr>
          <w:rFonts w:cs="Arial"/>
          <w:b/>
          <w:szCs w:val="24"/>
        </w:rPr>
        <w:t>Raising concerns</w:t>
      </w:r>
      <w:r w:rsidR="00093068" w:rsidRPr="00AE7434">
        <w:rPr>
          <w:rFonts w:cs="Arial"/>
          <w:b/>
          <w:szCs w:val="24"/>
        </w:rPr>
        <w:t xml:space="preserve"> internally</w:t>
      </w:r>
    </w:p>
    <w:p w14:paraId="4D6FB049" w14:textId="77777777" w:rsidR="0008654B" w:rsidRDefault="0008654B" w:rsidP="00EA7A57">
      <w:pPr>
        <w:pStyle w:val="BodyText"/>
        <w:rPr>
          <w:rFonts w:cs="Arial"/>
          <w:szCs w:val="24"/>
        </w:rPr>
      </w:pPr>
      <w:r w:rsidRPr="0008654B">
        <w:rPr>
          <w:rFonts w:cs="Arial"/>
          <w:szCs w:val="24"/>
        </w:rPr>
        <w:t>Staf</w:t>
      </w:r>
      <w:r>
        <w:rPr>
          <w:rFonts w:cs="Arial"/>
          <w:szCs w:val="24"/>
        </w:rPr>
        <w:t>f, trustees or volunteers who have concerns about malpractices should raise them as follows:</w:t>
      </w:r>
    </w:p>
    <w:p w14:paraId="50CAC513" w14:textId="77777777" w:rsidR="0008654B" w:rsidRPr="0008654B" w:rsidRDefault="0008654B" w:rsidP="0008654B">
      <w:pPr>
        <w:pStyle w:val="BodyText"/>
        <w:numPr>
          <w:ilvl w:val="0"/>
          <w:numId w:val="30"/>
        </w:numPr>
        <w:rPr>
          <w:rFonts w:cs="Arial"/>
          <w:szCs w:val="24"/>
        </w:rPr>
      </w:pPr>
      <w:r>
        <w:rPr>
          <w:rFonts w:cs="Arial"/>
          <w:szCs w:val="24"/>
        </w:rPr>
        <w:t xml:space="preserve">with their </w:t>
      </w:r>
      <w:r w:rsidRPr="0008654B">
        <w:rPr>
          <w:rFonts w:cs="Arial"/>
          <w:szCs w:val="24"/>
        </w:rPr>
        <w:t>line manager</w:t>
      </w:r>
    </w:p>
    <w:p w14:paraId="0DF73A9A" w14:textId="77777777" w:rsidR="0008654B" w:rsidRPr="0008654B" w:rsidRDefault="0008654B" w:rsidP="0008654B">
      <w:pPr>
        <w:pStyle w:val="BodyText"/>
        <w:numPr>
          <w:ilvl w:val="0"/>
          <w:numId w:val="30"/>
        </w:numPr>
        <w:rPr>
          <w:rFonts w:cs="Arial"/>
          <w:szCs w:val="24"/>
        </w:rPr>
      </w:pPr>
      <w:r w:rsidRPr="0008654B">
        <w:rPr>
          <w:rFonts w:cs="Arial"/>
          <w:szCs w:val="24"/>
        </w:rPr>
        <w:t>where concerns are about the conduct of the line manager, t</w:t>
      </w:r>
      <w:r>
        <w:rPr>
          <w:rFonts w:cs="Arial"/>
          <w:szCs w:val="24"/>
        </w:rPr>
        <w:t xml:space="preserve">o the next person in the line management chain (likely to be the </w:t>
      </w:r>
      <w:r w:rsidR="008142D5">
        <w:rPr>
          <w:rFonts w:cs="Arial"/>
          <w:szCs w:val="24"/>
        </w:rPr>
        <w:t>Chief Executive Officer</w:t>
      </w:r>
      <w:r>
        <w:rPr>
          <w:rFonts w:cs="Arial"/>
          <w:szCs w:val="24"/>
        </w:rPr>
        <w:t xml:space="preserve"> or a service manager),</w:t>
      </w:r>
      <w:r w:rsidRPr="0008654B">
        <w:rPr>
          <w:rFonts w:cs="Arial"/>
          <w:szCs w:val="24"/>
        </w:rPr>
        <w:t xml:space="preserve"> or</w:t>
      </w:r>
    </w:p>
    <w:p w14:paraId="0D2F8C65" w14:textId="13190854" w:rsidR="0008654B" w:rsidRPr="0008654B" w:rsidRDefault="0067439C" w:rsidP="0008654B">
      <w:pPr>
        <w:pStyle w:val="BodyText"/>
        <w:numPr>
          <w:ilvl w:val="0"/>
          <w:numId w:val="30"/>
        </w:numPr>
        <w:rPr>
          <w:rFonts w:cs="Arial"/>
          <w:szCs w:val="24"/>
        </w:rPr>
      </w:pPr>
      <w:r>
        <w:rPr>
          <w:rFonts w:cs="Arial"/>
          <w:szCs w:val="24"/>
        </w:rPr>
        <w:t>where concerns are about the conduct of the Chief Executive Officer, w</w:t>
      </w:r>
      <w:r w:rsidR="0008654B">
        <w:rPr>
          <w:rFonts w:cs="Arial"/>
          <w:szCs w:val="24"/>
        </w:rPr>
        <w:t xml:space="preserve">ith </w:t>
      </w:r>
      <w:r>
        <w:rPr>
          <w:rFonts w:cs="Arial"/>
          <w:szCs w:val="24"/>
        </w:rPr>
        <w:t xml:space="preserve">a member of </w:t>
      </w:r>
      <w:r w:rsidR="0008654B" w:rsidRPr="0008654B">
        <w:rPr>
          <w:rFonts w:cs="Arial"/>
          <w:szCs w:val="24"/>
        </w:rPr>
        <w:t xml:space="preserve">the </w:t>
      </w:r>
      <w:r w:rsidR="008142D5">
        <w:rPr>
          <w:rFonts w:cs="Arial"/>
          <w:szCs w:val="24"/>
        </w:rPr>
        <w:t>Trustee Board</w:t>
      </w:r>
      <w:r w:rsidR="00093068">
        <w:rPr>
          <w:rFonts w:cs="Arial"/>
          <w:szCs w:val="24"/>
        </w:rPr>
        <w:t>.</w:t>
      </w:r>
    </w:p>
    <w:p w14:paraId="7429C592" w14:textId="77777777" w:rsidR="0008654B" w:rsidRPr="00093068" w:rsidRDefault="0008654B" w:rsidP="00EA7A57">
      <w:pPr>
        <w:pStyle w:val="BodyText"/>
        <w:rPr>
          <w:rFonts w:cs="Arial"/>
          <w:szCs w:val="24"/>
        </w:rPr>
      </w:pPr>
    </w:p>
    <w:p w14:paraId="018D6BCD" w14:textId="77777777" w:rsidR="00093068" w:rsidRPr="00093068" w:rsidRDefault="00093068" w:rsidP="00AE7434">
      <w:pPr>
        <w:pStyle w:val="BodyText"/>
        <w:rPr>
          <w:rFonts w:cs="Arial"/>
          <w:b/>
          <w:szCs w:val="24"/>
        </w:rPr>
      </w:pPr>
      <w:r w:rsidRPr="00093068">
        <w:rPr>
          <w:rFonts w:cs="Arial"/>
          <w:b/>
          <w:szCs w:val="24"/>
        </w:rPr>
        <w:t xml:space="preserve">Raising a concern </w:t>
      </w:r>
      <w:r w:rsidR="00AE7434">
        <w:rPr>
          <w:rFonts w:cs="Arial"/>
          <w:b/>
          <w:szCs w:val="24"/>
        </w:rPr>
        <w:t>externally</w:t>
      </w:r>
    </w:p>
    <w:p w14:paraId="296D5165" w14:textId="3EBD83E8" w:rsidR="00093068" w:rsidRPr="00093068" w:rsidRDefault="00093068" w:rsidP="00093068">
      <w:pPr>
        <w:pStyle w:val="BodyText"/>
        <w:rPr>
          <w:rFonts w:cs="Arial"/>
          <w:szCs w:val="24"/>
        </w:rPr>
      </w:pPr>
      <w:r w:rsidRPr="00093068">
        <w:rPr>
          <w:rFonts w:cs="Arial"/>
          <w:szCs w:val="24"/>
        </w:rPr>
        <w:t>Sutton Mencap staff may also use their lawful rights to report concerns directly to an outside agency in certain circumstances.</w:t>
      </w:r>
      <w:r w:rsidR="00F779A8">
        <w:rPr>
          <w:rFonts w:cs="Arial"/>
          <w:szCs w:val="24"/>
        </w:rPr>
        <w:t xml:space="preserve"> </w:t>
      </w:r>
      <w:r w:rsidRPr="00093068">
        <w:rPr>
          <w:rFonts w:cs="Arial"/>
          <w:szCs w:val="24"/>
        </w:rPr>
        <w:t>If workers wish to raise a matter externally rather than internally, they will be protected only if they can show that they are not motivated by personal gain and that they reasonably believe the information they are giving is true.</w:t>
      </w:r>
    </w:p>
    <w:p w14:paraId="61D852D4" w14:textId="77777777" w:rsidR="00093068" w:rsidRPr="00093068" w:rsidRDefault="00093068" w:rsidP="00093068">
      <w:pPr>
        <w:pStyle w:val="BodyText"/>
        <w:rPr>
          <w:rFonts w:cs="Arial"/>
          <w:szCs w:val="22"/>
        </w:rPr>
      </w:pPr>
    </w:p>
    <w:p w14:paraId="42EE6AC4" w14:textId="77777777" w:rsidR="00093068" w:rsidRPr="00093068" w:rsidRDefault="00093068" w:rsidP="00093068">
      <w:pPr>
        <w:pStyle w:val="BodyText"/>
        <w:rPr>
          <w:rFonts w:cs="Arial"/>
          <w:szCs w:val="22"/>
        </w:rPr>
      </w:pPr>
      <w:r w:rsidRPr="00093068">
        <w:rPr>
          <w:rFonts w:cs="Arial"/>
          <w:szCs w:val="22"/>
        </w:rPr>
        <w:t>A list of suggested relevant bodies is provided in Appendix 1.</w:t>
      </w:r>
    </w:p>
    <w:p w14:paraId="4F82B7F8" w14:textId="77777777" w:rsidR="00AE7434" w:rsidRPr="00AE7434" w:rsidRDefault="00AE7434" w:rsidP="00AE7434">
      <w:pPr>
        <w:pStyle w:val="BodyText"/>
        <w:rPr>
          <w:rFonts w:cs="Arial"/>
          <w:szCs w:val="22"/>
        </w:rPr>
      </w:pPr>
    </w:p>
    <w:p w14:paraId="64D88BF8" w14:textId="77777777" w:rsidR="00160807" w:rsidRPr="00160807" w:rsidRDefault="00160807" w:rsidP="00093068">
      <w:pPr>
        <w:pStyle w:val="BodyText"/>
        <w:rPr>
          <w:rFonts w:cs="Arial"/>
          <w:b/>
          <w:szCs w:val="24"/>
        </w:rPr>
      </w:pPr>
      <w:r w:rsidRPr="00160807">
        <w:rPr>
          <w:rFonts w:cs="Arial"/>
          <w:b/>
          <w:szCs w:val="24"/>
        </w:rPr>
        <w:t>Raising a concern elsewhere (e.g</w:t>
      </w:r>
      <w:r>
        <w:rPr>
          <w:rFonts w:cs="Arial"/>
          <w:b/>
          <w:szCs w:val="24"/>
        </w:rPr>
        <w:t>.</w:t>
      </w:r>
      <w:r w:rsidRPr="00160807">
        <w:rPr>
          <w:rFonts w:cs="Arial"/>
          <w:b/>
          <w:szCs w:val="24"/>
        </w:rPr>
        <w:t xml:space="preserve"> via the media)</w:t>
      </w:r>
    </w:p>
    <w:p w14:paraId="627E91FE" w14:textId="0F36B2C7" w:rsidR="00160807" w:rsidRDefault="00160807" w:rsidP="00093068">
      <w:pPr>
        <w:pStyle w:val="BodyText"/>
        <w:rPr>
          <w:rFonts w:cs="Arial"/>
          <w:szCs w:val="24"/>
        </w:rPr>
      </w:pPr>
      <w:r>
        <w:rPr>
          <w:rFonts w:cs="Arial"/>
          <w:szCs w:val="24"/>
        </w:rPr>
        <w:t>We expect that d</w:t>
      </w:r>
      <w:r w:rsidR="00AE7434" w:rsidRPr="00AE7434">
        <w:rPr>
          <w:rFonts w:cs="Arial"/>
          <w:szCs w:val="24"/>
        </w:rPr>
        <w:t xml:space="preserve">isclosure </w:t>
      </w:r>
      <w:r>
        <w:rPr>
          <w:rFonts w:cs="Arial"/>
          <w:szCs w:val="24"/>
        </w:rPr>
        <w:t xml:space="preserve">will normally be made to either the </w:t>
      </w:r>
      <w:r w:rsidR="00AE7434" w:rsidRPr="00AE7434">
        <w:rPr>
          <w:rFonts w:cs="Arial"/>
          <w:szCs w:val="24"/>
        </w:rPr>
        <w:t xml:space="preserve">employer or </w:t>
      </w:r>
      <w:r>
        <w:rPr>
          <w:rFonts w:cs="Arial"/>
          <w:szCs w:val="24"/>
        </w:rPr>
        <w:t>an</w:t>
      </w:r>
      <w:r w:rsidR="00AE7434" w:rsidRPr="00AE7434">
        <w:rPr>
          <w:rFonts w:cs="Arial"/>
          <w:szCs w:val="24"/>
        </w:rPr>
        <w:t xml:space="preserve"> appropriate external body</w:t>
      </w:r>
      <w:r>
        <w:rPr>
          <w:rFonts w:cs="Arial"/>
          <w:szCs w:val="24"/>
        </w:rPr>
        <w:t>.</w:t>
      </w:r>
      <w:r w:rsidR="00F779A8">
        <w:rPr>
          <w:rFonts w:cs="Arial"/>
          <w:szCs w:val="24"/>
        </w:rPr>
        <w:t xml:space="preserve"> </w:t>
      </w:r>
      <w:r>
        <w:rPr>
          <w:rFonts w:cs="Arial"/>
          <w:szCs w:val="24"/>
        </w:rPr>
        <w:t>If disclosure is made through another route, e.g. to the media, a staff member will have to show that all the circumstances indicate this to be a reasonable course of action.</w:t>
      </w:r>
      <w:r w:rsidR="00F779A8">
        <w:rPr>
          <w:rFonts w:cs="Arial"/>
          <w:szCs w:val="24"/>
        </w:rPr>
        <w:t xml:space="preserve"> </w:t>
      </w:r>
      <w:r>
        <w:rPr>
          <w:rFonts w:cs="Arial"/>
          <w:szCs w:val="24"/>
        </w:rPr>
        <w:t xml:space="preserve">If this cannot be shown, the staff member will not be </w:t>
      </w:r>
      <w:r w:rsidRPr="00AE7434">
        <w:rPr>
          <w:rFonts w:cs="Arial"/>
          <w:szCs w:val="24"/>
        </w:rPr>
        <w:t>protected from dismissal or other detriment.</w:t>
      </w:r>
    </w:p>
    <w:p w14:paraId="2CB3A281" w14:textId="77777777" w:rsidR="00DF13B2" w:rsidRPr="00AE7434" w:rsidRDefault="00DF13B2">
      <w:pPr>
        <w:pStyle w:val="BodyText"/>
        <w:rPr>
          <w:rFonts w:cs="Arial"/>
          <w:szCs w:val="22"/>
        </w:rPr>
      </w:pPr>
    </w:p>
    <w:p w14:paraId="026DF18E" w14:textId="77777777" w:rsidR="003678AE" w:rsidRPr="00AE7434" w:rsidRDefault="0035594C" w:rsidP="006421F8">
      <w:pPr>
        <w:pStyle w:val="BodyText"/>
        <w:numPr>
          <w:ilvl w:val="0"/>
          <w:numId w:val="1"/>
        </w:numPr>
        <w:ind w:left="360"/>
        <w:rPr>
          <w:rFonts w:cs="Arial"/>
          <w:b/>
          <w:szCs w:val="22"/>
        </w:rPr>
      </w:pPr>
      <w:r w:rsidRPr="00AE7434">
        <w:rPr>
          <w:rFonts w:cs="Arial"/>
          <w:b/>
          <w:szCs w:val="22"/>
        </w:rPr>
        <w:t>Sutton Mencap</w:t>
      </w:r>
      <w:r w:rsidR="003678AE" w:rsidRPr="00AE7434">
        <w:rPr>
          <w:rFonts w:cs="Arial"/>
          <w:b/>
          <w:szCs w:val="22"/>
        </w:rPr>
        <w:t xml:space="preserve"> </w:t>
      </w:r>
      <w:r w:rsidR="00160807">
        <w:rPr>
          <w:rFonts w:cs="Arial"/>
          <w:b/>
          <w:szCs w:val="22"/>
        </w:rPr>
        <w:t>r</w:t>
      </w:r>
      <w:r w:rsidR="003678AE" w:rsidRPr="00AE7434">
        <w:rPr>
          <w:rFonts w:cs="Arial"/>
          <w:b/>
          <w:szCs w:val="22"/>
        </w:rPr>
        <w:t xml:space="preserve">esponse to </w:t>
      </w:r>
      <w:r w:rsidR="00500ED3">
        <w:rPr>
          <w:rFonts w:cs="Arial"/>
          <w:b/>
          <w:szCs w:val="22"/>
        </w:rPr>
        <w:t>a w</w:t>
      </w:r>
      <w:r w:rsidR="003678AE" w:rsidRPr="00AE7434">
        <w:rPr>
          <w:rFonts w:cs="Arial"/>
          <w:b/>
          <w:szCs w:val="22"/>
        </w:rPr>
        <w:t xml:space="preserve">histleblowing </w:t>
      </w:r>
      <w:r w:rsidR="00500ED3">
        <w:rPr>
          <w:rFonts w:cs="Arial"/>
          <w:b/>
          <w:szCs w:val="22"/>
        </w:rPr>
        <w:t>disclosure</w:t>
      </w:r>
    </w:p>
    <w:p w14:paraId="4ED87B06" w14:textId="6B3204AD" w:rsidR="00500ED3" w:rsidRPr="00500ED3" w:rsidRDefault="00500ED3" w:rsidP="00500ED3">
      <w:pPr>
        <w:pStyle w:val="BodyText"/>
        <w:rPr>
          <w:rFonts w:cs="Arial"/>
          <w:szCs w:val="22"/>
        </w:rPr>
      </w:pPr>
      <w:r w:rsidRPr="00500ED3">
        <w:rPr>
          <w:rFonts w:cs="Arial"/>
          <w:szCs w:val="22"/>
        </w:rPr>
        <w:t xml:space="preserve">If the concern of the whistleblower is a matter for the Whistleblowing </w:t>
      </w:r>
      <w:r w:rsidR="00FC015D">
        <w:rPr>
          <w:rFonts w:cs="Arial"/>
          <w:szCs w:val="22"/>
        </w:rPr>
        <w:t>P</w:t>
      </w:r>
      <w:r w:rsidRPr="00500ED3">
        <w:rPr>
          <w:rFonts w:cs="Arial"/>
          <w:szCs w:val="22"/>
        </w:rPr>
        <w:t xml:space="preserve">olicy, then a decision must be taken on an appropriate course of action, and a written response made to the person raising the concern(s) within </w:t>
      </w:r>
      <w:r w:rsidRPr="00500ED3">
        <w:rPr>
          <w:rFonts w:cs="Arial"/>
          <w:b/>
          <w:szCs w:val="22"/>
        </w:rPr>
        <w:t xml:space="preserve">two weeks </w:t>
      </w:r>
      <w:r w:rsidRPr="00500ED3">
        <w:rPr>
          <w:rFonts w:cs="Arial"/>
          <w:szCs w:val="22"/>
        </w:rPr>
        <w:t>of the date of notification of concern.</w:t>
      </w:r>
      <w:r w:rsidR="00F779A8">
        <w:rPr>
          <w:rFonts w:cs="Arial"/>
          <w:szCs w:val="22"/>
        </w:rPr>
        <w:t xml:space="preserve"> </w:t>
      </w:r>
      <w:r w:rsidRPr="00500ED3">
        <w:rPr>
          <w:rFonts w:cs="Arial"/>
          <w:szCs w:val="22"/>
        </w:rPr>
        <w:t>This must include information on:</w:t>
      </w:r>
    </w:p>
    <w:p w14:paraId="61F475FD" w14:textId="77777777" w:rsidR="00500ED3" w:rsidRPr="00500ED3" w:rsidRDefault="00500ED3" w:rsidP="00500ED3">
      <w:pPr>
        <w:pStyle w:val="BodyText"/>
        <w:numPr>
          <w:ilvl w:val="0"/>
          <w:numId w:val="27"/>
        </w:numPr>
        <w:rPr>
          <w:rFonts w:cs="Arial"/>
          <w:szCs w:val="22"/>
        </w:rPr>
      </w:pPr>
      <w:r w:rsidRPr="00500ED3">
        <w:rPr>
          <w:rFonts w:cs="Arial"/>
          <w:szCs w:val="22"/>
        </w:rPr>
        <w:t>who is handling the concern</w:t>
      </w:r>
      <w:r>
        <w:rPr>
          <w:rFonts w:cs="Arial"/>
          <w:szCs w:val="22"/>
        </w:rPr>
        <w:t>.</w:t>
      </w:r>
    </w:p>
    <w:p w14:paraId="7A5F4F76" w14:textId="77777777" w:rsidR="00500ED3" w:rsidRPr="00500ED3" w:rsidRDefault="00500ED3" w:rsidP="00500ED3">
      <w:pPr>
        <w:pStyle w:val="BodyText"/>
        <w:numPr>
          <w:ilvl w:val="0"/>
          <w:numId w:val="27"/>
        </w:numPr>
        <w:rPr>
          <w:rFonts w:cs="Arial"/>
          <w:szCs w:val="22"/>
        </w:rPr>
      </w:pPr>
      <w:r w:rsidRPr="00500ED3">
        <w:rPr>
          <w:rFonts w:cs="Arial"/>
          <w:szCs w:val="22"/>
        </w:rPr>
        <w:t>how they can be contacted</w:t>
      </w:r>
      <w:r>
        <w:rPr>
          <w:rFonts w:cs="Arial"/>
          <w:szCs w:val="22"/>
        </w:rPr>
        <w:t>.</w:t>
      </w:r>
    </w:p>
    <w:p w14:paraId="357858EE" w14:textId="77777777" w:rsidR="00500ED3" w:rsidRPr="00500ED3" w:rsidRDefault="00500ED3" w:rsidP="00500ED3">
      <w:pPr>
        <w:pStyle w:val="BodyText"/>
        <w:numPr>
          <w:ilvl w:val="0"/>
          <w:numId w:val="27"/>
        </w:numPr>
        <w:rPr>
          <w:rFonts w:cs="Arial"/>
          <w:szCs w:val="22"/>
        </w:rPr>
      </w:pPr>
      <w:r w:rsidRPr="00500ED3">
        <w:rPr>
          <w:rFonts w:cs="Arial"/>
          <w:szCs w:val="22"/>
        </w:rPr>
        <w:t>what further assistance may be required from the employee</w:t>
      </w:r>
      <w:r>
        <w:rPr>
          <w:rFonts w:cs="Arial"/>
          <w:szCs w:val="22"/>
        </w:rPr>
        <w:t>.</w:t>
      </w:r>
    </w:p>
    <w:p w14:paraId="64F86E10" w14:textId="77777777" w:rsidR="00500ED3" w:rsidRPr="00500ED3" w:rsidRDefault="00500ED3" w:rsidP="00500ED3">
      <w:pPr>
        <w:pStyle w:val="BodyText"/>
        <w:numPr>
          <w:ilvl w:val="0"/>
          <w:numId w:val="27"/>
        </w:numPr>
        <w:rPr>
          <w:rFonts w:cs="Arial"/>
          <w:szCs w:val="22"/>
        </w:rPr>
      </w:pPr>
      <w:r w:rsidRPr="00500ED3">
        <w:rPr>
          <w:rFonts w:cs="Arial"/>
          <w:szCs w:val="22"/>
        </w:rPr>
        <w:t>whether the whistleblower has any personal interest in the concern raised</w:t>
      </w:r>
      <w:r>
        <w:rPr>
          <w:rFonts w:cs="Arial"/>
          <w:szCs w:val="22"/>
        </w:rPr>
        <w:t>.</w:t>
      </w:r>
    </w:p>
    <w:p w14:paraId="29A34038" w14:textId="77777777" w:rsidR="00500ED3" w:rsidRPr="00500ED3" w:rsidRDefault="00500ED3" w:rsidP="00500ED3">
      <w:pPr>
        <w:pStyle w:val="BodyText"/>
        <w:numPr>
          <w:ilvl w:val="0"/>
          <w:numId w:val="27"/>
        </w:numPr>
        <w:rPr>
          <w:rFonts w:cs="Arial"/>
          <w:szCs w:val="22"/>
        </w:rPr>
      </w:pPr>
      <w:r w:rsidRPr="00500ED3">
        <w:rPr>
          <w:rFonts w:cs="Arial"/>
          <w:szCs w:val="22"/>
        </w:rPr>
        <w:t>an offer of a written record outlining the concern(s)</w:t>
      </w:r>
      <w:r>
        <w:rPr>
          <w:rFonts w:cs="Arial"/>
          <w:szCs w:val="22"/>
        </w:rPr>
        <w:t>.</w:t>
      </w:r>
    </w:p>
    <w:p w14:paraId="76E3671A" w14:textId="77777777" w:rsidR="00500ED3" w:rsidRPr="00500ED3" w:rsidRDefault="00500ED3" w:rsidP="00500ED3">
      <w:pPr>
        <w:pStyle w:val="BodyText"/>
        <w:numPr>
          <w:ilvl w:val="0"/>
          <w:numId w:val="27"/>
        </w:numPr>
        <w:rPr>
          <w:rFonts w:cs="Arial"/>
          <w:szCs w:val="22"/>
        </w:rPr>
      </w:pPr>
      <w:r w:rsidRPr="00500ED3">
        <w:rPr>
          <w:rFonts w:cs="Arial"/>
          <w:szCs w:val="22"/>
        </w:rPr>
        <w:t>a description of what action, if any, will be taken and the time scale to be followed</w:t>
      </w:r>
      <w:r>
        <w:rPr>
          <w:rFonts w:cs="Arial"/>
          <w:szCs w:val="22"/>
        </w:rPr>
        <w:t>.</w:t>
      </w:r>
    </w:p>
    <w:p w14:paraId="0CF74A95" w14:textId="77777777" w:rsidR="00500ED3" w:rsidRPr="00500ED3" w:rsidRDefault="00500ED3" w:rsidP="00500ED3">
      <w:pPr>
        <w:pStyle w:val="BodyText"/>
        <w:numPr>
          <w:ilvl w:val="0"/>
          <w:numId w:val="27"/>
        </w:numPr>
        <w:rPr>
          <w:rFonts w:cs="Arial"/>
          <w:szCs w:val="22"/>
        </w:rPr>
      </w:pPr>
      <w:r w:rsidRPr="00500ED3">
        <w:rPr>
          <w:rFonts w:cs="Arial"/>
          <w:szCs w:val="22"/>
        </w:rPr>
        <w:lastRenderedPageBreak/>
        <w:t>how the employee will be kept informed about the investigation and its outcome</w:t>
      </w:r>
      <w:r>
        <w:rPr>
          <w:rFonts w:cs="Arial"/>
          <w:szCs w:val="22"/>
        </w:rPr>
        <w:t>.</w:t>
      </w:r>
    </w:p>
    <w:p w14:paraId="05F4EC9B" w14:textId="77777777" w:rsidR="00500ED3" w:rsidRPr="00500ED3" w:rsidRDefault="00500ED3" w:rsidP="00500ED3">
      <w:pPr>
        <w:pStyle w:val="BodyText"/>
        <w:rPr>
          <w:rFonts w:cs="Arial"/>
          <w:szCs w:val="22"/>
        </w:rPr>
      </w:pPr>
    </w:p>
    <w:p w14:paraId="2025ABCF" w14:textId="77777777" w:rsidR="003678AE" w:rsidRPr="00AE7434" w:rsidRDefault="003678AE" w:rsidP="006421F8">
      <w:pPr>
        <w:pStyle w:val="BodyText"/>
        <w:rPr>
          <w:rFonts w:cs="Arial"/>
          <w:szCs w:val="22"/>
        </w:rPr>
      </w:pPr>
      <w:r w:rsidRPr="00AE7434">
        <w:rPr>
          <w:rFonts w:cs="Arial"/>
          <w:szCs w:val="22"/>
        </w:rPr>
        <w:t xml:space="preserve">The response </w:t>
      </w:r>
      <w:r w:rsidR="00500ED3">
        <w:rPr>
          <w:rFonts w:cs="Arial"/>
          <w:szCs w:val="22"/>
        </w:rPr>
        <w:t xml:space="preserve">to a concern being raised could </w:t>
      </w:r>
      <w:r w:rsidRPr="00AE7434">
        <w:rPr>
          <w:rFonts w:cs="Arial"/>
          <w:szCs w:val="22"/>
        </w:rPr>
        <w:t>include any or all of the following:</w:t>
      </w:r>
    </w:p>
    <w:p w14:paraId="603CF233" w14:textId="4EF98B2B" w:rsidR="003678AE" w:rsidRPr="00AE7434" w:rsidRDefault="003678AE" w:rsidP="006421F8">
      <w:pPr>
        <w:pStyle w:val="BodyText"/>
        <w:numPr>
          <w:ilvl w:val="0"/>
          <w:numId w:val="26"/>
        </w:numPr>
        <w:rPr>
          <w:rFonts w:cs="Arial"/>
          <w:szCs w:val="22"/>
        </w:rPr>
      </w:pPr>
      <w:r w:rsidRPr="00AE7434">
        <w:rPr>
          <w:rFonts w:cs="Arial"/>
          <w:szCs w:val="22"/>
        </w:rPr>
        <w:t>investigat</w:t>
      </w:r>
      <w:r w:rsidR="006421F8" w:rsidRPr="00AE7434">
        <w:rPr>
          <w:rFonts w:cs="Arial"/>
          <w:szCs w:val="22"/>
        </w:rPr>
        <w:t>ion</w:t>
      </w:r>
      <w:r w:rsidRPr="00AE7434">
        <w:rPr>
          <w:rFonts w:cs="Arial"/>
          <w:szCs w:val="22"/>
        </w:rPr>
        <w:t xml:space="preserve"> by management</w:t>
      </w:r>
      <w:r w:rsidR="00F779A8">
        <w:rPr>
          <w:rFonts w:cs="Arial"/>
          <w:szCs w:val="22"/>
        </w:rPr>
        <w:t xml:space="preserve"> </w:t>
      </w:r>
      <w:r w:rsidRPr="00AE7434">
        <w:rPr>
          <w:rFonts w:cs="Arial"/>
          <w:szCs w:val="22"/>
        </w:rPr>
        <w:t xml:space="preserve">or internal audit (which could involve the </w:t>
      </w:r>
      <w:r w:rsidR="008142D5">
        <w:rPr>
          <w:rFonts w:cs="Arial"/>
          <w:szCs w:val="22"/>
        </w:rPr>
        <w:t>Chief Executive Officer</w:t>
      </w:r>
      <w:r w:rsidRPr="00AE7434">
        <w:rPr>
          <w:rFonts w:cs="Arial"/>
          <w:szCs w:val="22"/>
        </w:rPr>
        <w:t xml:space="preserve"> appointing appropriate staff internally to investigate)</w:t>
      </w:r>
    </w:p>
    <w:p w14:paraId="1D246BBE" w14:textId="77777777" w:rsidR="003678AE" w:rsidRPr="00AE7434" w:rsidRDefault="003678AE" w:rsidP="006421F8">
      <w:pPr>
        <w:pStyle w:val="BodyText"/>
        <w:numPr>
          <w:ilvl w:val="0"/>
          <w:numId w:val="26"/>
        </w:numPr>
        <w:rPr>
          <w:rFonts w:cs="Arial"/>
          <w:szCs w:val="22"/>
        </w:rPr>
      </w:pPr>
      <w:r w:rsidRPr="00AE7434">
        <w:rPr>
          <w:rFonts w:cs="Arial"/>
          <w:szCs w:val="22"/>
        </w:rPr>
        <w:t>referr</w:t>
      </w:r>
      <w:r w:rsidR="006421F8" w:rsidRPr="00AE7434">
        <w:rPr>
          <w:rFonts w:cs="Arial"/>
          <w:szCs w:val="22"/>
        </w:rPr>
        <w:t xml:space="preserve">al </w:t>
      </w:r>
      <w:r w:rsidRPr="00AE7434">
        <w:rPr>
          <w:rFonts w:cs="Arial"/>
          <w:szCs w:val="22"/>
        </w:rPr>
        <w:t xml:space="preserve">to the </w:t>
      </w:r>
      <w:r w:rsidR="008142D5">
        <w:rPr>
          <w:rFonts w:cs="Arial"/>
          <w:szCs w:val="22"/>
        </w:rPr>
        <w:t>Trustee Board</w:t>
      </w:r>
    </w:p>
    <w:p w14:paraId="19460A01" w14:textId="77777777" w:rsidR="003678AE" w:rsidRPr="00AE7434" w:rsidRDefault="003678AE" w:rsidP="006421F8">
      <w:pPr>
        <w:pStyle w:val="BodyText"/>
        <w:numPr>
          <w:ilvl w:val="0"/>
          <w:numId w:val="26"/>
        </w:numPr>
        <w:rPr>
          <w:rFonts w:cs="Arial"/>
          <w:szCs w:val="22"/>
        </w:rPr>
      </w:pPr>
      <w:r w:rsidRPr="00AE7434">
        <w:rPr>
          <w:rFonts w:cs="Arial"/>
          <w:szCs w:val="22"/>
        </w:rPr>
        <w:t>referr</w:t>
      </w:r>
      <w:r w:rsidR="006421F8" w:rsidRPr="00AE7434">
        <w:rPr>
          <w:rFonts w:cs="Arial"/>
          <w:szCs w:val="22"/>
        </w:rPr>
        <w:t>al</w:t>
      </w:r>
      <w:r w:rsidRPr="00AE7434">
        <w:rPr>
          <w:rFonts w:cs="Arial"/>
          <w:szCs w:val="22"/>
        </w:rPr>
        <w:t xml:space="preserve"> to the Police</w:t>
      </w:r>
    </w:p>
    <w:p w14:paraId="2EFA81C2" w14:textId="77777777" w:rsidR="003678AE" w:rsidRPr="00AE7434" w:rsidRDefault="00500ED3" w:rsidP="006421F8">
      <w:pPr>
        <w:pStyle w:val="BodyText"/>
        <w:numPr>
          <w:ilvl w:val="0"/>
          <w:numId w:val="26"/>
        </w:numPr>
        <w:rPr>
          <w:rFonts w:cs="Arial"/>
          <w:szCs w:val="22"/>
        </w:rPr>
      </w:pPr>
      <w:r>
        <w:rPr>
          <w:rFonts w:cs="Arial"/>
          <w:szCs w:val="22"/>
        </w:rPr>
        <w:t xml:space="preserve">establishing an </w:t>
      </w:r>
      <w:r w:rsidR="003678AE" w:rsidRPr="00AE7434">
        <w:rPr>
          <w:rFonts w:cs="Arial"/>
          <w:szCs w:val="22"/>
        </w:rPr>
        <w:t>independent inquiry</w:t>
      </w:r>
    </w:p>
    <w:p w14:paraId="4611310B" w14:textId="77777777" w:rsidR="00160807" w:rsidRPr="00500ED3" w:rsidRDefault="00160807" w:rsidP="006421F8">
      <w:pPr>
        <w:pStyle w:val="BodyText"/>
        <w:rPr>
          <w:rFonts w:cs="Arial"/>
          <w:szCs w:val="22"/>
        </w:rPr>
      </w:pPr>
    </w:p>
    <w:p w14:paraId="1C935ED2" w14:textId="77777777" w:rsidR="003678AE" w:rsidRPr="00500ED3" w:rsidRDefault="003678AE" w:rsidP="006421F8">
      <w:pPr>
        <w:pStyle w:val="BodyText"/>
        <w:numPr>
          <w:ilvl w:val="0"/>
          <w:numId w:val="1"/>
        </w:numPr>
        <w:ind w:left="360"/>
        <w:rPr>
          <w:rFonts w:cs="Arial"/>
          <w:b/>
          <w:szCs w:val="22"/>
        </w:rPr>
      </w:pPr>
      <w:r w:rsidRPr="00500ED3">
        <w:rPr>
          <w:rFonts w:cs="Arial"/>
          <w:b/>
          <w:szCs w:val="22"/>
        </w:rPr>
        <w:t>Confidentiality</w:t>
      </w:r>
    </w:p>
    <w:p w14:paraId="5CA96060" w14:textId="5BB93F76" w:rsidR="003678AE" w:rsidRPr="00500ED3" w:rsidRDefault="003678AE">
      <w:pPr>
        <w:pStyle w:val="BodyText"/>
        <w:rPr>
          <w:rFonts w:cs="Arial"/>
          <w:szCs w:val="22"/>
        </w:rPr>
      </w:pPr>
      <w:r w:rsidRPr="00500ED3">
        <w:rPr>
          <w:rFonts w:cs="Arial"/>
          <w:szCs w:val="22"/>
        </w:rPr>
        <w:t>All employees have the right to raise a concern in confidence under this policy.</w:t>
      </w:r>
      <w:r w:rsidR="00F779A8">
        <w:rPr>
          <w:rFonts w:cs="Arial"/>
          <w:szCs w:val="22"/>
        </w:rPr>
        <w:t xml:space="preserve"> </w:t>
      </w:r>
      <w:r w:rsidRPr="00500ED3">
        <w:rPr>
          <w:rFonts w:cs="Arial"/>
          <w:szCs w:val="22"/>
        </w:rPr>
        <w:t>If an employee asks for their identity to be protected this must be respected wherever possible.</w:t>
      </w:r>
      <w:r w:rsidR="00F779A8">
        <w:rPr>
          <w:rFonts w:cs="Arial"/>
          <w:szCs w:val="22"/>
        </w:rPr>
        <w:t xml:space="preserve"> </w:t>
      </w:r>
      <w:r w:rsidRPr="00500ED3">
        <w:rPr>
          <w:rFonts w:cs="Arial"/>
          <w:szCs w:val="22"/>
        </w:rPr>
        <w:t xml:space="preserve"> If it is not possible to resolve the matter without revealing the identity of the whistleblower (for example, where evidence is needed in court) the appropriate line manager or the </w:t>
      </w:r>
      <w:r w:rsidR="008142D5">
        <w:rPr>
          <w:rFonts w:cs="Arial"/>
          <w:szCs w:val="22"/>
        </w:rPr>
        <w:t>Chief Executive Officer</w:t>
      </w:r>
      <w:r w:rsidRPr="00500ED3">
        <w:rPr>
          <w:rFonts w:cs="Arial"/>
          <w:szCs w:val="22"/>
        </w:rPr>
        <w:t xml:space="preserve"> will discuss with the employee in question whether and how the matter can go forward. </w:t>
      </w:r>
    </w:p>
    <w:p w14:paraId="68E324A7" w14:textId="77777777" w:rsidR="003678AE" w:rsidRPr="00500ED3" w:rsidRDefault="003678AE">
      <w:pPr>
        <w:pStyle w:val="BodyText"/>
        <w:rPr>
          <w:rFonts w:cs="Arial"/>
          <w:szCs w:val="22"/>
        </w:rPr>
      </w:pPr>
    </w:p>
    <w:p w14:paraId="6D021C71" w14:textId="483C3B37" w:rsidR="003678AE" w:rsidRPr="00500ED3" w:rsidRDefault="003678AE">
      <w:pPr>
        <w:pStyle w:val="BodyText"/>
        <w:rPr>
          <w:rFonts w:cs="Arial"/>
          <w:szCs w:val="22"/>
        </w:rPr>
      </w:pPr>
      <w:r w:rsidRPr="00500ED3">
        <w:rPr>
          <w:rFonts w:cs="Arial"/>
          <w:szCs w:val="22"/>
        </w:rPr>
        <w:t>Anonymity cannot be maintained if this would have an adverse effect on any serious criminal proceedings.</w:t>
      </w:r>
      <w:r w:rsidR="00F779A8">
        <w:rPr>
          <w:rFonts w:cs="Arial"/>
          <w:szCs w:val="22"/>
        </w:rPr>
        <w:t xml:space="preserve"> </w:t>
      </w:r>
      <w:r w:rsidRPr="00500ED3">
        <w:rPr>
          <w:rFonts w:cs="Arial"/>
          <w:szCs w:val="22"/>
        </w:rPr>
        <w:t>All concerns will be treated in confidence and every effort will be made to protect the whistleblower's identity.</w:t>
      </w:r>
    </w:p>
    <w:p w14:paraId="050A0BF9" w14:textId="77777777" w:rsidR="003678AE" w:rsidRPr="00EA7A57" w:rsidRDefault="003678AE">
      <w:pPr>
        <w:pStyle w:val="BodyText"/>
        <w:rPr>
          <w:rFonts w:cs="Arial"/>
          <w:sz w:val="22"/>
          <w:szCs w:val="22"/>
        </w:rPr>
      </w:pPr>
    </w:p>
    <w:p w14:paraId="6D79F8BD" w14:textId="77777777" w:rsidR="003678AE" w:rsidRPr="00500ED3" w:rsidRDefault="00500ED3" w:rsidP="006421F8">
      <w:pPr>
        <w:pStyle w:val="BodyText"/>
        <w:numPr>
          <w:ilvl w:val="0"/>
          <w:numId w:val="1"/>
        </w:numPr>
        <w:ind w:left="360"/>
        <w:rPr>
          <w:rFonts w:cs="Arial"/>
          <w:b/>
          <w:szCs w:val="22"/>
        </w:rPr>
      </w:pPr>
      <w:r w:rsidRPr="00500ED3">
        <w:rPr>
          <w:rFonts w:cs="Arial"/>
          <w:b/>
          <w:szCs w:val="22"/>
        </w:rPr>
        <w:t>Harassment</w:t>
      </w:r>
      <w:r w:rsidR="003678AE" w:rsidRPr="00500ED3">
        <w:rPr>
          <w:rFonts w:cs="Arial"/>
          <w:b/>
          <w:szCs w:val="22"/>
        </w:rPr>
        <w:t xml:space="preserve"> or </w:t>
      </w:r>
      <w:r>
        <w:rPr>
          <w:rFonts w:cs="Arial"/>
          <w:b/>
          <w:szCs w:val="22"/>
        </w:rPr>
        <w:t>v</w:t>
      </w:r>
      <w:r w:rsidR="003678AE" w:rsidRPr="00500ED3">
        <w:rPr>
          <w:rFonts w:cs="Arial"/>
          <w:b/>
          <w:szCs w:val="22"/>
        </w:rPr>
        <w:t>ictimisation</w:t>
      </w:r>
    </w:p>
    <w:p w14:paraId="7B486E15" w14:textId="4940DF21" w:rsidR="003678AE" w:rsidRPr="00500ED3" w:rsidRDefault="0035594C" w:rsidP="006421F8">
      <w:pPr>
        <w:pStyle w:val="BodyText"/>
        <w:rPr>
          <w:rFonts w:cs="Arial"/>
          <w:szCs w:val="22"/>
        </w:rPr>
      </w:pPr>
      <w:r w:rsidRPr="00500ED3">
        <w:rPr>
          <w:rFonts w:cs="Arial"/>
          <w:szCs w:val="22"/>
        </w:rPr>
        <w:t>Sutton Mencap</w:t>
      </w:r>
      <w:r w:rsidR="003678AE" w:rsidRPr="00500ED3">
        <w:rPr>
          <w:rFonts w:cs="Arial"/>
          <w:szCs w:val="22"/>
        </w:rPr>
        <w:t xml:space="preserve"> will support concerned employees and protect them from reprisals or victimisation, which if proven would result in disciplinary action being taken against the perpetrator(s).</w:t>
      </w:r>
      <w:r w:rsidR="00F779A8">
        <w:rPr>
          <w:rFonts w:cs="Arial"/>
          <w:szCs w:val="22"/>
        </w:rPr>
        <w:t xml:space="preserve"> </w:t>
      </w:r>
      <w:r w:rsidR="003678AE" w:rsidRPr="00500ED3">
        <w:rPr>
          <w:rFonts w:cs="Arial"/>
          <w:szCs w:val="22"/>
        </w:rPr>
        <w:t xml:space="preserve">An employee who is victimised in breach of the guidance laid down by the PIDA can bring </w:t>
      </w:r>
      <w:r w:rsidR="00400B68" w:rsidRPr="00500ED3">
        <w:rPr>
          <w:rFonts w:cs="Arial"/>
          <w:szCs w:val="22"/>
        </w:rPr>
        <w:t xml:space="preserve">a </w:t>
      </w:r>
      <w:r w:rsidR="003678AE" w:rsidRPr="00500ED3">
        <w:rPr>
          <w:rFonts w:cs="Arial"/>
          <w:szCs w:val="22"/>
        </w:rPr>
        <w:t>claim at an Employment Tribunal (ET).</w:t>
      </w:r>
    </w:p>
    <w:p w14:paraId="24B40C8C" w14:textId="77777777" w:rsidR="003678AE" w:rsidRPr="00500ED3" w:rsidRDefault="003678AE">
      <w:pPr>
        <w:pStyle w:val="BodyText"/>
        <w:rPr>
          <w:rFonts w:cs="Arial"/>
          <w:szCs w:val="22"/>
        </w:rPr>
      </w:pPr>
    </w:p>
    <w:p w14:paraId="2A522683" w14:textId="606E14A2" w:rsidR="003678AE" w:rsidRPr="00500ED3" w:rsidRDefault="006421F8">
      <w:pPr>
        <w:pStyle w:val="BodyText"/>
        <w:rPr>
          <w:rFonts w:cs="Arial"/>
          <w:szCs w:val="22"/>
        </w:rPr>
      </w:pPr>
      <w:r w:rsidRPr="00500ED3">
        <w:rPr>
          <w:rFonts w:cs="Arial"/>
          <w:szCs w:val="22"/>
        </w:rPr>
        <w:t>I</w:t>
      </w:r>
      <w:r w:rsidR="003678AE" w:rsidRPr="00500ED3">
        <w:rPr>
          <w:rFonts w:cs="Arial"/>
          <w:szCs w:val="22"/>
        </w:rPr>
        <w:t xml:space="preserve">t </w:t>
      </w:r>
      <w:r w:rsidRPr="00500ED3">
        <w:rPr>
          <w:rFonts w:cs="Arial"/>
          <w:szCs w:val="22"/>
        </w:rPr>
        <w:t xml:space="preserve">is </w:t>
      </w:r>
      <w:r w:rsidR="003678AE" w:rsidRPr="00500ED3">
        <w:rPr>
          <w:rFonts w:cs="Arial"/>
          <w:szCs w:val="22"/>
        </w:rPr>
        <w:t>not necessary that the employee proves the malpractice or misconduct that he/</w:t>
      </w:r>
      <w:r w:rsidRPr="00500ED3">
        <w:rPr>
          <w:rFonts w:cs="Arial"/>
          <w:szCs w:val="22"/>
        </w:rPr>
        <w:t xml:space="preserve"> </w:t>
      </w:r>
      <w:r w:rsidR="003678AE" w:rsidRPr="00500ED3">
        <w:rPr>
          <w:rFonts w:cs="Arial"/>
          <w:szCs w:val="22"/>
        </w:rPr>
        <w:t>she is alleging</w:t>
      </w:r>
      <w:r w:rsidRPr="00500ED3">
        <w:rPr>
          <w:rFonts w:cs="Arial"/>
          <w:szCs w:val="22"/>
        </w:rPr>
        <w:t>.</w:t>
      </w:r>
      <w:r w:rsidR="00F779A8">
        <w:rPr>
          <w:rFonts w:cs="Arial"/>
          <w:szCs w:val="22"/>
        </w:rPr>
        <w:t xml:space="preserve"> </w:t>
      </w:r>
      <w:r w:rsidRPr="00500ED3">
        <w:rPr>
          <w:rFonts w:cs="Arial"/>
          <w:szCs w:val="22"/>
        </w:rPr>
        <w:t>S</w:t>
      </w:r>
      <w:r w:rsidR="003678AE" w:rsidRPr="00500ED3">
        <w:rPr>
          <w:rFonts w:cs="Arial"/>
          <w:szCs w:val="22"/>
        </w:rPr>
        <w:t>imply raising a reasonable suspicion would suffice.</w:t>
      </w:r>
    </w:p>
    <w:p w14:paraId="2C9C264A" w14:textId="77777777" w:rsidR="00093068" w:rsidRPr="00500ED3" w:rsidRDefault="00093068">
      <w:pPr>
        <w:pStyle w:val="BodyText"/>
        <w:rPr>
          <w:rFonts w:cs="Arial"/>
          <w:szCs w:val="22"/>
        </w:rPr>
      </w:pPr>
    </w:p>
    <w:p w14:paraId="7D75AF48" w14:textId="77777777" w:rsidR="00093068" w:rsidRDefault="00093068" w:rsidP="00093068">
      <w:pPr>
        <w:pStyle w:val="BodyText"/>
        <w:rPr>
          <w:rFonts w:cs="Arial"/>
          <w:szCs w:val="22"/>
        </w:rPr>
      </w:pPr>
      <w:r w:rsidRPr="00500ED3">
        <w:rPr>
          <w:rFonts w:cs="Arial"/>
          <w:szCs w:val="22"/>
        </w:rPr>
        <w:t>If victimised by their employers, whistleblowers can bring a claim to an employment tribunal for compensation.</w:t>
      </w:r>
    </w:p>
    <w:p w14:paraId="26D26B86" w14:textId="77777777" w:rsidR="00DF13B2" w:rsidRPr="00DF13B2" w:rsidRDefault="00DF13B2" w:rsidP="00DF13B2">
      <w:pPr>
        <w:pStyle w:val="BodyText"/>
        <w:rPr>
          <w:rFonts w:cs="Arial"/>
          <w:szCs w:val="22"/>
        </w:rPr>
      </w:pPr>
    </w:p>
    <w:p w14:paraId="7173ABA6" w14:textId="77777777" w:rsidR="00DF13B2" w:rsidRPr="00DF13B2" w:rsidRDefault="00DF13B2" w:rsidP="00DF13B2">
      <w:pPr>
        <w:pStyle w:val="BodyText"/>
        <w:numPr>
          <w:ilvl w:val="0"/>
          <w:numId w:val="1"/>
        </w:numPr>
        <w:ind w:left="360"/>
        <w:rPr>
          <w:rFonts w:cs="Arial"/>
          <w:b/>
          <w:szCs w:val="22"/>
        </w:rPr>
      </w:pPr>
      <w:r w:rsidRPr="00DF13B2">
        <w:rPr>
          <w:rFonts w:cs="Arial"/>
          <w:b/>
          <w:szCs w:val="22"/>
        </w:rPr>
        <w:t>Responsibilities</w:t>
      </w:r>
    </w:p>
    <w:p w14:paraId="7D8CF371" w14:textId="77777777" w:rsidR="00DF13B2" w:rsidRDefault="00DF13B2" w:rsidP="00DF13B2">
      <w:pPr>
        <w:pStyle w:val="BodyText"/>
        <w:rPr>
          <w:rFonts w:cs="Arial"/>
          <w:szCs w:val="22"/>
        </w:rPr>
      </w:pPr>
    </w:p>
    <w:p w14:paraId="236424DF" w14:textId="77777777" w:rsidR="00DF13B2" w:rsidRPr="00DF13B2" w:rsidRDefault="00DF13B2" w:rsidP="00DF13B2">
      <w:pPr>
        <w:pStyle w:val="BodyText"/>
        <w:rPr>
          <w:rFonts w:cs="Arial"/>
          <w:szCs w:val="22"/>
        </w:rPr>
      </w:pPr>
      <w:r w:rsidRPr="00DF13B2">
        <w:rPr>
          <w:rFonts w:cs="Arial"/>
          <w:szCs w:val="22"/>
        </w:rPr>
        <w:t>Trustees</w:t>
      </w:r>
    </w:p>
    <w:p w14:paraId="53E74B5D" w14:textId="77777777" w:rsidR="00DF13B2" w:rsidRDefault="00DF13B2" w:rsidP="00DF13B2">
      <w:pPr>
        <w:pStyle w:val="BodyText"/>
        <w:numPr>
          <w:ilvl w:val="0"/>
          <w:numId w:val="36"/>
        </w:numPr>
        <w:rPr>
          <w:rFonts w:cs="Arial"/>
          <w:szCs w:val="22"/>
        </w:rPr>
      </w:pPr>
      <w:r w:rsidRPr="00DF13B2">
        <w:rPr>
          <w:rFonts w:cs="Arial"/>
          <w:szCs w:val="22"/>
        </w:rPr>
        <w:t>To approve and review the policy on a regular basis.</w:t>
      </w:r>
    </w:p>
    <w:p w14:paraId="6B430C25" w14:textId="77777777" w:rsidR="00DF13B2" w:rsidRPr="00DF13B2" w:rsidRDefault="00DF13B2" w:rsidP="00DF13B2">
      <w:pPr>
        <w:pStyle w:val="BodyText"/>
        <w:numPr>
          <w:ilvl w:val="0"/>
          <w:numId w:val="36"/>
        </w:numPr>
        <w:rPr>
          <w:rFonts w:cs="Arial"/>
          <w:szCs w:val="22"/>
        </w:rPr>
      </w:pPr>
      <w:r>
        <w:rPr>
          <w:rFonts w:cs="Arial"/>
          <w:szCs w:val="22"/>
        </w:rPr>
        <w:t>To act in accordance with the policy</w:t>
      </w:r>
    </w:p>
    <w:p w14:paraId="0635CDB9" w14:textId="77777777" w:rsidR="00DF13B2" w:rsidRPr="00DF13B2" w:rsidRDefault="00DF13B2" w:rsidP="00DF13B2">
      <w:pPr>
        <w:pStyle w:val="BodyText"/>
        <w:numPr>
          <w:ilvl w:val="0"/>
          <w:numId w:val="36"/>
        </w:numPr>
        <w:rPr>
          <w:rFonts w:cs="Arial"/>
          <w:szCs w:val="22"/>
        </w:rPr>
      </w:pPr>
      <w:r w:rsidRPr="00DF13B2">
        <w:rPr>
          <w:rFonts w:cs="Arial"/>
          <w:szCs w:val="22"/>
        </w:rPr>
        <w:t>To take reasonable steps to satisfy themselves that the policy is being implemented.</w:t>
      </w:r>
    </w:p>
    <w:p w14:paraId="5921E36F" w14:textId="77777777" w:rsidR="00DF13B2" w:rsidRPr="00DF13B2" w:rsidRDefault="00DF13B2" w:rsidP="00DF13B2">
      <w:pPr>
        <w:pStyle w:val="BodyText"/>
        <w:rPr>
          <w:rFonts w:cs="Arial"/>
          <w:szCs w:val="22"/>
        </w:rPr>
      </w:pPr>
    </w:p>
    <w:p w14:paraId="041F0021" w14:textId="77777777" w:rsidR="00DF13B2" w:rsidRPr="00DF13B2" w:rsidRDefault="00DF13B2" w:rsidP="00DF13B2">
      <w:pPr>
        <w:pStyle w:val="BodyText"/>
        <w:rPr>
          <w:rFonts w:cs="Arial"/>
          <w:szCs w:val="22"/>
        </w:rPr>
      </w:pPr>
      <w:r w:rsidRPr="00DF13B2">
        <w:rPr>
          <w:rFonts w:cs="Arial"/>
          <w:szCs w:val="22"/>
        </w:rPr>
        <w:t>Senior staff</w:t>
      </w:r>
    </w:p>
    <w:p w14:paraId="3454AD8F" w14:textId="77777777" w:rsidR="00DF13B2" w:rsidRPr="00DF13B2" w:rsidRDefault="00DF13B2" w:rsidP="00DF13B2">
      <w:pPr>
        <w:pStyle w:val="BodyText"/>
        <w:numPr>
          <w:ilvl w:val="0"/>
          <w:numId w:val="37"/>
        </w:numPr>
        <w:rPr>
          <w:rFonts w:cs="Arial"/>
          <w:szCs w:val="22"/>
        </w:rPr>
      </w:pPr>
      <w:r w:rsidRPr="00DF13B2">
        <w:rPr>
          <w:rFonts w:cs="Arial"/>
          <w:szCs w:val="22"/>
        </w:rPr>
        <w:t>To act in accordance with the policy</w:t>
      </w:r>
    </w:p>
    <w:p w14:paraId="2F9309F0" w14:textId="77777777" w:rsidR="00DF13B2" w:rsidRPr="00DF13B2" w:rsidRDefault="00DF13B2" w:rsidP="00DF13B2">
      <w:pPr>
        <w:pStyle w:val="BodyText"/>
        <w:numPr>
          <w:ilvl w:val="0"/>
          <w:numId w:val="37"/>
        </w:numPr>
        <w:rPr>
          <w:rFonts w:cs="Arial"/>
          <w:szCs w:val="22"/>
        </w:rPr>
      </w:pPr>
      <w:r w:rsidRPr="00DF13B2">
        <w:rPr>
          <w:rFonts w:cs="Arial"/>
          <w:szCs w:val="22"/>
        </w:rPr>
        <w:t>To communicate the policy to other staff and volunteers and to ensure it is being implemented correctly.</w:t>
      </w:r>
    </w:p>
    <w:p w14:paraId="36F0FE80" w14:textId="77777777" w:rsidR="00DF13B2" w:rsidRPr="00DF13B2" w:rsidRDefault="00DF13B2" w:rsidP="00DF13B2">
      <w:pPr>
        <w:pStyle w:val="BodyText"/>
        <w:rPr>
          <w:rFonts w:cs="Arial"/>
          <w:szCs w:val="22"/>
        </w:rPr>
      </w:pPr>
    </w:p>
    <w:p w14:paraId="566044D2" w14:textId="77777777" w:rsidR="00DF13B2" w:rsidRPr="00DF13B2" w:rsidRDefault="00DF13B2" w:rsidP="00DF13B2">
      <w:pPr>
        <w:pStyle w:val="BodyText"/>
        <w:rPr>
          <w:rFonts w:cs="Arial"/>
          <w:szCs w:val="22"/>
        </w:rPr>
      </w:pPr>
      <w:r w:rsidRPr="00DF13B2">
        <w:rPr>
          <w:rFonts w:cs="Arial"/>
          <w:szCs w:val="22"/>
        </w:rPr>
        <w:t xml:space="preserve">All </w:t>
      </w:r>
      <w:r>
        <w:rPr>
          <w:rFonts w:cs="Arial"/>
          <w:szCs w:val="22"/>
        </w:rPr>
        <w:t>st</w:t>
      </w:r>
      <w:r w:rsidRPr="00DF13B2">
        <w:rPr>
          <w:rFonts w:cs="Arial"/>
          <w:szCs w:val="22"/>
        </w:rPr>
        <w:t>aff and volunteers</w:t>
      </w:r>
    </w:p>
    <w:p w14:paraId="463D21B4" w14:textId="77777777" w:rsidR="00DF13B2" w:rsidRPr="00DF13B2" w:rsidRDefault="00DF13B2" w:rsidP="00DF13B2">
      <w:pPr>
        <w:pStyle w:val="BodyText"/>
        <w:numPr>
          <w:ilvl w:val="0"/>
          <w:numId w:val="38"/>
        </w:numPr>
        <w:rPr>
          <w:rFonts w:cs="Arial"/>
          <w:szCs w:val="22"/>
        </w:rPr>
      </w:pPr>
      <w:r w:rsidRPr="00DF13B2">
        <w:rPr>
          <w:rFonts w:cs="Arial"/>
          <w:szCs w:val="22"/>
        </w:rPr>
        <w:t>To act in accordance with the policy</w:t>
      </w:r>
      <w:r>
        <w:rPr>
          <w:rFonts w:cs="Arial"/>
          <w:szCs w:val="22"/>
        </w:rPr>
        <w:t>.</w:t>
      </w:r>
    </w:p>
    <w:p w14:paraId="3242C212" w14:textId="59A007BA" w:rsidR="00DF13B2" w:rsidRDefault="00DF13B2" w:rsidP="00093068">
      <w:pPr>
        <w:pStyle w:val="BodyText"/>
        <w:rPr>
          <w:rFonts w:cs="Arial"/>
          <w:szCs w:val="22"/>
        </w:rPr>
      </w:pPr>
    </w:p>
    <w:p w14:paraId="6B554CB9" w14:textId="77777777" w:rsidR="00576C06" w:rsidRDefault="00576C06" w:rsidP="00093068">
      <w:pPr>
        <w:pStyle w:val="BodyText"/>
        <w:rPr>
          <w:rFonts w:cs="Arial"/>
          <w:szCs w:val="22"/>
        </w:rPr>
      </w:pPr>
    </w:p>
    <w:p w14:paraId="461BF18C" w14:textId="77777777" w:rsidR="00DF13B2" w:rsidRPr="00DF13B2" w:rsidRDefault="00DF13B2" w:rsidP="00DF13B2">
      <w:pPr>
        <w:pStyle w:val="BodyText"/>
        <w:numPr>
          <w:ilvl w:val="0"/>
          <w:numId w:val="1"/>
        </w:numPr>
        <w:ind w:left="360"/>
        <w:rPr>
          <w:rFonts w:cs="Arial"/>
          <w:b/>
          <w:szCs w:val="22"/>
        </w:rPr>
      </w:pPr>
      <w:r w:rsidRPr="00DF13B2">
        <w:rPr>
          <w:rFonts w:cs="Arial"/>
          <w:b/>
          <w:szCs w:val="22"/>
        </w:rPr>
        <w:lastRenderedPageBreak/>
        <w:t>Related documents</w:t>
      </w:r>
    </w:p>
    <w:p w14:paraId="390E6CDD" w14:textId="77777777" w:rsidR="00906959" w:rsidRDefault="00906959" w:rsidP="00002A36">
      <w:pPr>
        <w:pStyle w:val="BodyText"/>
        <w:numPr>
          <w:ilvl w:val="0"/>
          <w:numId w:val="38"/>
        </w:numPr>
        <w:rPr>
          <w:rFonts w:cs="Arial"/>
          <w:szCs w:val="22"/>
        </w:rPr>
      </w:pPr>
      <w:r>
        <w:rPr>
          <w:rFonts w:cs="Arial"/>
          <w:szCs w:val="22"/>
        </w:rPr>
        <w:t>Safeguarding</w:t>
      </w:r>
    </w:p>
    <w:p w14:paraId="79732E6D" w14:textId="77777777" w:rsidR="00DF13B2" w:rsidRDefault="00DF13B2" w:rsidP="00002A36">
      <w:pPr>
        <w:pStyle w:val="BodyText"/>
        <w:numPr>
          <w:ilvl w:val="0"/>
          <w:numId w:val="38"/>
        </w:numPr>
        <w:rPr>
          <w:rFonts w:cs="Arial"/>
          <w:szCs w:val="22"/>
        </w:rPr>
      </w:pPr>
      <w:r>
        <w:rPr>
          <w:rFonts w:cs="Arial"/>
          <w:szCs w:val="22"/>
        </w:rPr>
        <w:t>Code of conduct</w:t>
      </w:r>
    </w:p>
    <w:p w14:paraId="52C90B20" w14:textId="77777777" w:rsidR="00DF13B2" w:rsidRDefault="00DF13B2" w:rsidP="00002A36">
      <w:pPr>
        <w:pStyle w:val="BodyText"/>
        <w:numPr>
          <w:ilvl w:val="0"/>
          <w:numId w:val="38"/>
        </w:numPr>
        <w:rPr>
          <w:rFonts w:cs="Arial"/>
          <w:szCs w:val="22"/>
        </w:rPr>
      </w:pPr>
      <w:r>
        <w:rPr>
          <w:rFonts w:cs="Arial"/>
          <w:szCs w:val="22"/>
        </w:rPr>
        <w:t>Complaints procedure</w:t>
      </w:r>
    </w:p>
    <w:p w14:paraId="05BCAA76" w14:textId="77777777" w:rsidR="00DF13B2" w:rsidRDefault="00DF13B2" w:rsidP="00002A36">
      <w:pPr>
        <w:pStyle w:val="BodyText"/>
        <w:numPr>
          <w:ilvl w:val="0"/>
          <w:numId w:val="38"/>
        </w:numPr>
        <w:rPr>
          <w:rFonts w:cs="Arial"/>
          <w:szCs w:val="22"/>
        </w:rPr>
      </w:pPr>
      <w:r>
        <w:rPr>
          <w:rFonts w:cs="Arial"/>
          <w:szCs w:val="22"/>
        </w:rPr>
        <w:t>Grievance and disciplinary</w:t>
      </w:r>
    </w:p>
    <w:p w14:paraId="31E4308F" w14:textId="77777777" w:rsidR="00DF13B2" w:rsidRDefault="00DF13B2" w:rsidP="00002A36">
      <w:pPr>
        <w:pStyle w:val="BodyText"/>
        <w:numPr>
          <w:ilvl w:val="0"/>
          <w:numId w:val="38"/>
        </w:numPr>
        <w:rPr>
          <w:rFonts w:cs="Arial"/>
          <w:szCs w:val="22"/>
        </w:rPr>
      </w:pPr>
      <w:r>
        <w:rPr>
          <w:rFonts w:cs="Arial"/>
          <w:szCs w:val="22"/>
        </w:rPr>
        <w:t>Confidentiality</w:t>
      </w:r>
    </w:p>
    <w:p w14:paraId="1A27A090" w14:textId="77777777" w:rsidR="00DF13B2" w:rsidRDefault="00DF13B2" w:rsidP="00002A36">
      <w:pPr>
        <w:pStyle w:val="BodyText"/>
        <w:numPr>
          <w:ilvl w:val="0"/>
          <w:numId w:val="38"/>
        </w:numPr>
        <w:rPr>
          <w:rFonts w:cs="Arial"/>
          <w:szCs w:val="22"/>
        </w:rPr>
      </w:pPr>
      <w:r>
        <w:rPr>
          <w:rFonts w:cs="Arial"/>
          <w:szCs w:val="22"/>
        </w:rPr>
        <w:t>Financial regulations</w:t>
      </w:r>
    </w:p>
    <w:p w14:paraId="7D477A24" w14:textId="77777777" w:rsidR="00DF13B2" w:rsidRDefault="00DF13B2" w:rsidP="00002A36">
      <w:pPr>
        <w:pStyle w:val="BodyText"/>
        <w:numPr>
          <w:ilvl w:val="0"/>
          <w:numId w:val="38"/>
        </w:numPr>
        <w:rPr>
          <w:rFonts w:cs="Arial"/>
          <w:szCs w:val="22"/>
        </w:rPr>
      </w:pPr>
      <w:r>
        <w:rPr>
          <w:rFonts w:cs="Arial"/>
          <w:szCs w:val="22"/>
        </w:rPr>
        <w:t>Health and Safety</w:t>
      </w:r>
    </w:p>
    <w:p w14:paraId="3A25C25F" w14:textId="77777777" w:rsidR="00DF13B2" w:rsidRDefault="00DF13B2" w:rsidP="00002A36">
      <w:pPr>
        <w:pStyle w:val="BodyText"/>
        <w:numPr>
          <w:ilvl w:val="0"/>
          <w:numId w:val="38"/>
        </w:numPr>
        <w:rPr>
          <w:rFonts w:cs="Arial"/>
          <w:szCs w:val="22"/>
        </w:rPr>
      </w:pPr>
      <w:r>
        <w:rPr>
          <w:rFonts w:cs="Arial"/>
          <w:szCs w:val="22"/>
        </w:rPr>
        <w:t>Professional boundaries</w:t>
      </w:r>
    </w:p>
    <w:p w14:paraId="559E83C3" w14:textId="77777777" w:rsidR="00DF13B2" w:rsidRDefault="00DF13B2" w:rsidP="00002A36">
      <w:pPr>
        <w:pStyle w:val="BodyText"/>
        <w:numPr>
          <w:ilvl w:val="0"/>
          <w:numId w:val="38"/>
        </w:numPr>
        <w:rPr>
          <w:rFonts w:cs="Arial"/>
          <w:szCs w:val="22"/>
        </w:rPr>
      </w:pPr>
      <w:r>
        <w:rPr>
          <w:rFonts w:cs="Arial"/>
          <w:szCs w:val="22"/>
        </w:rPr>
        <w:t>Training development and supervision</w:t>
      </w:r>
    </w:p>
    <w:p w14:paraId="3D31B418" w14:textId="77777777" w:rsidR="002C2161" w:rsidRDefault="002C2161" w:rsidP="002C2161">
      <w:pPr>
        <w:rPr>
          <w:rFonts w:ascii="Arial" w:hAnsi="Arial" w:cs="Arial"/>
          <w:sz w:val="22"/>
          <w:szCs w:val="22"/>
        </w:rPr>
      </w:pPr>
    </w:p>
    <w:p w14:paraId="4EBF06F5" w14:textId="77777777" w:rsidR="002C2161" w:rsidRPr="00EA7A57" w:rsidRDefault="002C2161" w:rsidP="002C2161">
      <w:pPr>
        <w:rPr>
          <w:rFonts w:ascii="Arial" w:hAnsi="Arial" w:cs="Arial"/>
          <w:sz w:val="22"/>
          <w:szCs w:val="22"/>
        </w:rPr>
      </w:pPr>
    </w:p>
    <w:p w14:paraId="117AB99A" w14:textId="77777777" w:rsidR="002C2161" w:rsidRPr="00EA7A57" w:rsidRDefault="002C2161" w:rsidP="002C2161">
      <w:pPr>
        <w:rPr>
          <w:rFonts w:ascii="Arial" w:hAnsi="Arial" w:cs="Arial"/>
          <w:b/>
          <w:sz w:val="22"/>
          <w:szCs w:val="22"/>
        </w:rPr>
      </w:pPr>
      <w:r w:rsidRPr="00EA7A57">
        <w:rPr>
          <w:rFonts w:ascii="Arial" w:hAnsi="Arial" w:cs="Arial"/>
          <w:b/>
          <w:sz w:val="22"/>
          <w:szCs w:val="22"/>
        </w:rPr>
        <w:t xml:space="preserve">Signed on behalf of the </w:t>
      </w:r>
      <w:r w:rsidR="008142D5">
        <w:rPr>
          <w:rFonts w:ascii="Arial" w:hAnsi="Arial" w:cs="Arial"/>
          <w:b/>
          <w:sz w:val="22"/>
          <w:szCs w:val="22"/>
        </w:rPr>
        <w:t xml:space="preserve">Trustee Board </w:t>
      </w:r>
      <w:r w:rsidRPr="00EA7A57">
        <w:rPr>
          <w:rFonts w:ascii="Arial" w:hAnsi="Arial" w:cs="Arial"/>
          <w:b/>
          <w:sz w:val="22"/>
          <w:szCs w:val="22"/>
        </w:rPr>
        <w:t>of Sutton Mencap</w:t>
      </w:r>
    </w:p>
    <w:p w14:paraId="2C2EFF32" w14:textId="77777777" w:rsidR="002C2161" w:rsidRPr="00EA7A57" w:rsidRDefault="002C2161" w:rsidP="002C2161">
      <w:pPr>
        <w:rPr>
          <w:rFonts w:ascii="Arial" w:hAnsi="Arial" w:cs="Arial"/>
          <w:b/>
          <w:sz w:val="22"/>
          <w:szCs w:val="22"/>
        </w:rPr>
      </w:pPr>
    </w:p>
    <w:p w14:paraId="2200E820" w14:textId="7727B240" w:rsidR="002C2161" w:rsidRDefault="002C2161" w:rsidP="002C2161">
      <w:pPr>
        <w:rPr>
          <w:rFonts w:ascii="Arial" w:hAnsi="Arial" w:cs="Arial"/>
          <w:b/>
          <w:sz w:val="22"/>
          <w:szCs w:val="22"/>
        </w:rPr>
      </w:pPr>
      <w:r w:rsidRPr="00EA7A57">
        <w:rPr>
          <w:rFonts w:ascii="Arial" w:hAnsi="Arial" w:cs="Arial"/>
          <w:b/>
          <w:sz w:val="22"/>
          <w:szCs w:val="22"/>
        </w:rPr>
        <w:t xml:space="preserve">Chairman: </w:t>
      </w:r>
      <w:r w:rsidR="00200E6B" w:rsidRPr="00653C30">
        <w:rPr>
          <w:rFonts w:ascii="Arial" w:hAnsi="Arial" w:cs="Arial"/>
          <w:b/>
          <w:noProof/>
          <w:sz w:val="24"/>
          <w:szCs w:val="24"/>
          <w:lang w:eastAsia="en-GB"/>
        </w:rPr>
        <w:drawing>
          <wp:inline distT="0" distB="0" distL="0" distR="0" wp14:anchorId="5C530935" wp14:editId="78950D05">
            <wp:extent cx="2113323" cy="528331"/>
            <wp:effectExtent l="19050" t="0" r="1227" b="0"/>
            <wp:docPr id="2" name="Picture 0" descr="Ma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vis.jpg"/>
                    <pic:cNvPicPr/>
                  </pic:nvPicPr>
                  <pic:blipFill>
                    <a:blip r:embed="rId13" cstate="print"/>
                    <a:stretch>
                      <a:fillRect/>
                    </a:stretch>
                  </pic:blipFill>
                  <pic:spPr>
                    <a:xfrm>
                      <a:off x="0" y="0"/>
                      <a:ext cx="2129171" cy="532293"/>
                    </a:xfrm>
                    <a:prstGeom prst="rect">
                      <a:avLst/>
                    </a:prstGeom>
                  </pic:spPr>
                </pic:pic>
              </a:graphicData>
            </a:graphic>
          </wp:inline>
        </w:drawing>
      </w:r>
      <w:r w:rsidRPr="00EA7A57">
        <w:rPr>
          <w:rFonts w:ascii="Arial" w:hAnsi="Arial" w:cs="Arial"/>
          <w:b/>
          <w:sz w:val="22"/>
          <w:szCs w:val="22"/>
        </w:rPr>
        <w:tab/>
        <w:t xml:space="preserve">Date: </w:t>
      </w:r>
      <w:r w:rsidR="009948AC">
        <w:rPr>
          <w:rFonts w:ascii="Arial" w:hAnsi="Arial" w:cs="Arial"/>
          <w:b/>
          <w:sz w:val="22"/>
          <w:szCs w:val="22"/>
        </w:rPr>
        <w:t>March 202</w:t>
      </w:r>
      <w:r w:rsidR="00576C06">
        <w:rPr>
          <w:rFonts w:ascii="Arial" w:hAnsi="Arial" w:cs="Arial"/>
          <w:b/>
          <w:sz w:val="22"/>
          <w:szCs w:val="22"/>
        </w:rPr>
        <w:t>4</w:t>
      </w:r>
    </w:p>
    <w:p w14:paraId="17D5C7A1" w14:textId="77777777" w:rsidR="002C2161" w:rsidRPr="00EA7A57" w:rsidRDefault="002C2161" w:rsidP="002C2161">
      <w:pPr>
        <w:rPr>
          <w:rFonts w:ascii="Arial" w:hAnsi="Arial" w:cs="Arial"/>
          <w:b/>
          <w:sz w:val="22"/>
          <w:szCs w:val="22"/>
        </w:rPr>
      </w:pPr>
    </w:p>
    <w:p w14:paraId="7F582135" w14:textId="77777777" w:rsidR="002C2161" w:rsidRPr="00EA7A57" w:rsidRDefault="002C2161" w:rsidP="002C2161">
      <w:pPr>
        <w:rPr>
          <w:rFonts w:ascii="Arial" w:hAnsi="Arial" w:cs="Arial"/>
          <w:b/>
          <w:sz w:val="22"/>
          <w:szCs w:val="22"/>
        </w:rPr>
      </w:pPr>
      <w:r w:rsidRPr="00EA7A57">
        <w:rPr>
          <w:rFonts w:ascii="Arial" w:hAnsi="Arial" w:cs="Arial"/>
          <w:b/>
          <w:sz w:val="22"/>
          <w:szCs w:val="22"/>
        </w:rPr>
        <w:tab/>
      </w:r>
      <w:r w:rsidRPr="00EA7A57">
        <w:rPr>
          <w:rFonts w:ascii="Arial" w:hAnsi="Arial" w:cs="Arial"/>
          <w:b/>
          <w:sz w:val="22"/>
          <w:szCs w:val="22"/>
        </w:rPr>
        <w:tab/>
        <w:t>Mavis Peart</w:t>
      </w:r>
    </w:p>
    <w:p w14:paraId="72FEF785" w14:textId="77777777" w:rsidR="002C2161" w:rsidRPr="00EA7A57" w:rsidRDefault="002C2161" w:rsidP="002C2161">
      <w:pPr>
        <w:rPr>
          <w:rFonts w:ascii="Arial" w:hAnsi="Arial" w:cs="Arial"/>
          <w:b/>
          <w:sz w:val="22"/>
          <w:szCs w:val="22"/>
        </w:rPr>
      </w:pPr>
    </w:p>
    <w:p w14:paraId="3A6AA087" w14:textId="77777777" w:rsidR="00160807" w:rsidRDefault="00160807" w:rsidP="002C2161">
      <w:pPr>
        <w:rPr>
          <w:rFonts w:ascii="Arial" w:hAnsi="Arial" w:cs="Arial"/>
          <w:b/>
          <w:sz w:val="22"/>
          <w:szCs w:val="22"/>
        </w:rPr>
      </w:pPr>
    </w:p>
    <w:p w14:paraId="279D3496" w14:textId="09E92F2B" w:rsidR="00160807" w:rsidRDefault="00160807" w:rsidP="002C2161">
      <w:pPr>
        <w:rPr>
          <w:rFonts w:ascii="Arial" w:hAnsi="Arial" w:cs="Arial"/>
          <w:b/>
          <w:sz w:val="22"/>
          <w:szCs w:val="22"/>
        </w:rPr>
      </w:pPr>
      <w:r>
        <w:rPr>
          <w:rFonts w:ascii="Arial" w:hAnsi="Arial" w:cs="Arial"/>
          <w:b/>
          <w:sz w:val="22"/>
          <w:szCs w:val="22"/>
        </w:rPr>
        <w:t>Next review:</w:t>
      </w:r>
      <w:r w:rsidR="00F779A8">
        <w:rPr>
          <w:rFonts w:ascii="Arial" w:hAnsi="Arial" w:cs="Arial"/>
          <w:b/>
          <w:sz w:val="22"/>
          <w:szCs w:val="22"/>
        </w:rPr>
        <w:t xml:space="preserve"> </w:t>
      </w:r>
      <w:r w:rsidR="009948AC">
        <w:rPr>
          <w:rFonts w:ascii="Arial" w:hAnsi="Arial" w:cs="Arial"/>
          <w:b/>
          <w:sz w:val="22"/>
          <w:szCs w:val="22"/>
        </w:rPr>
        <w:t>March 202</w:t>
      </w:r>
      <w:r w:rsidR="00576C06">
        <w:rPr>
          <w:rFonts w:ascii="Arial" w:hAnsi="Arial" w:cs="Arial"/>
          <w:b/>
          <w:sz w:val="22"/>
          <w:szCs w:val="22"/>
        </w:rPr>
        <w:t>7</w:t>
      </w:r>
    </w:p>
    <w:p w14:paraId="54F7144A" w14:textId="77777777" w:rsidR="00160807" w:rsidRDefault="00160807" w:rsidP="002C2161">
      <w:pPr>
        <w:rPr>
          <w:rFonts w:ascii="Arial" w:hAnsi="Arial" w:cs="Arial"/>
          <w:sz w:val="22"/>
          <w:szCs w:val="22"/>
        </w:rPr>
      </w:pPr>
    </w:p>
    <w:p w14:paraId="25D244C2" w14:textId="77777777" w:rsidR="00160807" w:rsidRDefault="00160807" w:rsidP="002C2161">
      <w:pPr>
        <w:rPr>
          <w:rFonts w:ascii="Arial" w:hAnsi="Arial" w:cs="Arial"/>
          <w:sz w:val="22"/>
          <w:szCs w:val="22"/>
        </w:rPr>
      </w:pPr>
    </w:p>
    <w:p w14:paraId="0EA49335" w14:textId="77777777" w:rsidR="002C2161" w:rsidRPr="00EA7A57" w:rsidRDefault="002C2161" w:rsidP="002C2161">
      <w:pPr>
        <w:pStyle w:val="BodyText"/>
        <w:spacing w:line="360" w:lineRule="auto"/>
        <w:ind w:left="-1800"/>
        <w:rPr>
          <w:rFonts w:cs="Arial"/>
          <w:b/>
          <w:i/>
          <w:sz w:val="22"/>
          <w:szCs w:val="22"/>
          <w:u w:val="single"/>
        </w:rPr>
      </w:pPr>
    </w:p>
    <w:p w14:paraId="5AB00BBA" w14:textId="77777777" w:rsidR="002C2161" w:rsidRDefault="002C2161">
      <w:pPr>
        <w:rPr>
          <w:rFonts w:ascii="Arial" w:hAnsi="Arial" w:cs="Arial"/>
          <w:b/>
          <w:sz w:val="24"/>
          <w:szCs w:val="22"/>
        </w:rPr>
      </w:pPr>
      <w:r>
        <w:rPr>
          <w:rFonts w:cs="Arial"/>
          <w:b/>
          <w:szCs w:val="22"/>
        </w:rPr>
        <w:br w:type="page"/>
      </w:r>
    </w:p>
    <w:p w14:paraId="2EBED69B" w14:textId="7697B40E" w:rsidR="003678AE" w:rsidRPr="009948AC" w:rsidRDefault="003678AE" w:rsidP="003333E5">
      <w:pPr>
        <w:pStyle w:val="BodyText"/>
        <w:rPr>
          <w:rFonts w:cs="Arial"/>
          <w:b/>
          <w:sz w:val="32"/>
          <w:szCs w:val="22"/>
        </w:rPr>
      </w:pPr>
      <w:r w:rsidRPr="009948AC">
        <w:rPr>
          <w:rFonts w:cs="Arial"/>
          <w:b/>
          <w:sz w:val="32"/>
          <w:szCs w:val="22"/>
        </w:rPr>
        <w:lastRenderedPageBreak/>
        <w:t>APPENDIX</w:t>
      </w:r>
      <w:r w:rsidR="00B70F76" w:rsidRPr="009948AC">
        <w:rPr>
          <w:rFonts w:cs="Arial"/>
          <w:b/>
          <w:sz w:val="32"/>
          <w:szCs w:val="22"/>
        </w:rPr>
        <w:t xml:space="preserve"> - </w:t>
      </w:r>
      <w:r w:rsidRPr="009948AC">
        <w:rPr>
          <w:rFonts w:cs="Arial"/>
          <w:b/>
          <w:sz w:val="32"/>
          <w:szCs w:val="22"/>
        </w:rPr>
        <w:t>List of Relevant Outside Bodies</w:t>
      </w:r>
    </w:p>
    <w:p w14:paraId="13E88E41" w14:textId="77777777" w:rsidR="00E25FB5" w:rsidRPr="00FF7178" w:rsidRDefault="00E25FB5" w:rsidP="003333E5">
      <w:pPr>
        <w:pStyle w:val="BodyText"/>
        <w:rPr>
          <w:rFonts w:cs="Arial"/>
          <w:szCs w:val="22"/>
        </w:rPr>
      </w:pPr>
    </w:p>
    <w:p w14:paraId="5BA61F5D" w14:textId="77777777" w:rsidR="003678AE" w:rsidRPr="00DF13B2" w:rsidRDefault="003678AE" w:rsidP="003333E5">
      <w:pPr>
        <w:pStyle w:val="BodyText"/>
        <w:numPr>
          <w:ilvl w:val="0"/>
          <w:numId w:val="18"/>
        </w:numPr>
        <w:rPr>
          <w:rFonts w:cs="Arial"/>
          <w:b/>
          <w:szCs w:val="22"/>
        </w:rPr>
      </w:pPr>
      <w:r w:rsidRPr="00DF13B2">
        <w:rPr>
          <w:rFonts w:cs="Arial"/>
          <w:b/>
          <w:szCs w:val="22"/>
        </w:rPr>
        <w:t>The Charity Commissioners for England and Wales</w:t>
      </w:r>
    </w:p>
    <w:p w14:paraId="0F0E2521" w14:textId="77777777" w:rsidR="003678AE" w:rsidRPr="00DF13B2" w:rsidRDefault="003678AE" w:rsidP="003333E5">
      <w:pPr>
        <w:pStyle w:val="BodyText"/>
        <w:rPr>
          <w:rFonts w:cs="Arial"/>
          <w:szCs w:val="22"/>
        </w:rPr>
      </w:pPr>
      <w:r w:rsidRPr="00DF13B2">
        <w:rPr>
          <w:rFonts w:cs="Arial"/>
          <w:szCs w:val="22"/>
        </w:rPr>
        <w:t>Areas dealt with:</w:t>
      </w:r>
      <w:r w:rsidR="00B70F76" w:rsidRPr="00DF13B2">
        <w:rPr>
          <w:rFonts w:cs="Arial"/>
          <w:szCs w:val="22"/>
        </w:rPr>
        <w:t xml:space="preserve"> </w:t>
      </w:r>
      <w:r w:rsidRPr="00DF13B2">
        <w:rPr>
          <w:rFonts w:cs="Arial"/>
          <w:szCs w:val="22"/>
        </w:rPr>
        <w:t>The proper administration of charities and of funds given or held for charitable purposes</w:t>
      </w:r>
    </w:p>
    <w:p w14:paraId="2CB31D82" w14:textId="02471BF8" w:rsidR="00B70F76" w:rsidRDefault="00B70F76" w:rsidP="003333E5">
      <w:pPr>
        <w:pStyle w:val="BodyText"/>
        <w:rPr>
          <w:rFonts w:cs="Arial"/>
          <w:szCs w:val="22"/>
        </w:rPr>
      </w:pPr>
    </w:p>
    <w:p w14:paraId="7D089C4F" w14:textId="4F22D523" w:rsidR="00D3352E" w:rsidRDefault="00D3352E" w:rsidP="003333E5">
      <w:pPr>
        <w:pStyle w:val="BodyText"/>
        <w:rPr>
          <w:rFonts w:cs="Arial"/>
          <w:szCs w:val="22"/>
        </w:rPr>
      </w:pPr>
      <w:r>
        <w:rPr>
          <w:rFonts w:cs="Arial"/>
          <w:szCs w:val="22"/>
        </w:rPr>
        <w:t>e</w:t>
      </w:r>
      <w:r w:rsidRPr="00D3352E">
        <w:rPr>
          <w:rFonts w:cs="Arial"/>
          <w:szCs w:val="22"/>
        </w:rPr>
        <w:t xml:space="preserve">mail </w:t>
      </w:r>
      <w:hyperlink r:id="rId14" w:history="1">
        <w:r w:rsidRPr="00426C8C">
          <w:rPr>
            <w:rStyle w:val="Hyperlink"/>
            <w:rFonts w:cs="Arial"/>
            <w:szCs w:val="22"/>
          </w:rPr>
          <w:t>whistleblowing@charitycommission.gov.uk</w:t>
        </w:r>
      </w:hyperlink>
    </w:p>
    <w:p w14:paraId="51889ED7" w14:textId="77777777" w:rsidR="00D3352E" w:rsidRDefault="00D3352E" w:rsidP="003333E5">
      <w:pPr>
        <w:pStyle w:val="BodyText"/>
        <w:rPr>
          <w:rFonts w:cs="Arial"/>
          <w:szCs w:val="22"/>
        </w:rPr>
      </w:pPr>
    </w:p>
    <w:p w14:paraId="6D54170F" w14:textId="77777777" w:rsidR="00E25FB5" w:rsidRDefault="00E25FB5" w:rsidP="00E25FB5">
      <w:pPr>
        <w:pStyle w:val="BodyText"/>
        <w:rPr>
          <w:rFonts w:cs="Arial"/>
          <w:szCs w:val="22"/>
        </w:rPr>
      </w:pPr>
      <w:r>
        <w:rPr>
          <w:rFonts w:cs="Arial"/>
          <w:szCs w:val="22"/>
        </w:rPr>
        <w:t xml:space="preserve">See </w:t>
      </w:r>
      <w:hyperlink r:id="rId15" w:history="1">
        <w:r w:rsidRPr="00995864">
          <w:rPr>
            <w:rStyle w:val="Hyperlink"/>
            <w:rFonts w:cs="Arial"/>
            <w:szCs w:val="22"/>
          </w:rPr>
          <w:t>https://www.gov.uk/guidance/whistleblowing-guidance-for-charity-employees</w:t>
        </w:r>
      </w:hyperlink>
    </w:p>
    <w:p w14:paraId="435C206B" w14:textId="77777777" w:rsidR="00B70F76" w:rsidRPr="00DF13B2" w:rsidRDefault="00B70F76" w:rsidP="003333E5">
      <w:pPr>
        <w:pStyle w:val="BodyText"/>
        <w:rPr>
          <w:rFonts w:cs="Arial"/>
          <w:szCs w:val="22"/>
        </w:rPr>
      </w:pPr>
    </w:p>
    <w:p w14:paraId="40548854" w14:textId="555960A3" w:rsidR="003678AE" w:rsidRPr="00DF13B2" w:rsidRDefault="00E25FB5" w:rsidP="003333E5">
      <w:pPr>
        <w:pStyle w:val="BodyText"/>
        <w:numPr>
          <w:ilvl w:val="0"/>
          <w:numId w:val="18"/>
        </w:numPr>
        <w:rPr>
          <w:rFonts w:cs="Arial"/>
          <w:b/>
          <w:szCs w:val="22"/>
        </w:rPr>
      </w:pPr>
      <w:r>
        <w:rPr>
          <w:rFonts w:cs="Arial"/>
          <w:b/>
          <w:szCs w:val="22"/>
        </w:rPr>
        <w:t>Information Commissioner’s O</w:t>
      </w:r>
      <w:r w:rsidR="00CF3C7C">
        <w:rPr>
          <w:rFonts w:cs="Arial"/>
          <w:b/>
          <w:szCs w:val="22"/>
        </w:rPr>
        <w:t>f</w:t>
      </w:r>
      <w:r>
        <w:rPr>
          <w:rFonts w:cs="Arial"/>
          <w:b/>
          <w:szCs w:val="22"/>
        </w:rPr>
        <w:t>fice</w:t>
      </w:r>
    </w:p>
    <w:p w14:paraId="05FEE818" w14:textId="77777777" w:rsidR="003678AE" w:rsidRPr="00DF13B2" w:rsidRDefault="003678AE" w:rsidP="003333E5">
      <w:pPr>
        <w:pStyle w:val="BodyText"/>
        <w:rPr>
          <w:rFonts w:cs="Arial"/>
          <w:szCs w:val="22"/>
        </w:rPr>
      </w:pPr>
      <w:r w:rsidRPr="00DF13B2">
        <w:rPr>
          <w:rFonts w:cs="Arial"/>
          <w:szCs w:val="22"/>
        </w:rPr>
        <w:t>Areas dealt with:</w:t>
      </w:r>
      <w:r w:rsidR="00B70F76" w:rsidRPr="00DF13B2">
        <w:rPr>
          <w:rFonts w:cs="Arial"/>
          <w:szCs w:val="22"/>
        </w:rPr>
        <w:t xml:space="preserve"> </w:t>
      </w:r>
      <w:r w:rsidRPr="00DF13B2">
        <w:rPr>
          <w:rFonts w:cs="Arial"/>
          <w:szCs w:val="22"/>
        </w:rPr>
        <w:t>Compliance with the requirements of legislation relating to data protection</w:t>
      </w:r>
    </w:p>
    <w:p w14:paraId="1F1A9193" w14:textId="77777777" w:rsidR="00E25FB5" w:rsidRDefault="00E25FB5" w:rsidP="003333E5">
      <w:pPr>
        <w:pStyle w:val="BodyText"/>
        <w:rPr>
          <w:rFonts w:cs="Arial"/>
          <w:szCs w:val="22"/>
        </w:rPr>
      </w:pPr>
    </w:p>
    <w:p w14:paraId="594F785C" w14:textId="77777777" w:rsidR="00B70F76" w:rsidRDefault="00E25FB5" w:rsidP="003333E5">
      <w:pPr>
        <w:pStyle w:val="BodyText"/>
        <w:rPr>
          <w:rFonts w:cs="Arial"/>
          <w:szCs w:val="22"/>
        </w:rPr>
      </w:pPr>
      <w:r>
        <w:rPr>
          <w:rFonts w:cs="Arial"/>
          <w:szCs w:val="22"/>
        </w:rPr>
        <w:t xml:space="preserve">Telephone: </w:t>
      </w:r>
      <w:r w:rsidRPr="00E25FB5">
        <w:rPr>
          <w:rFonts w:cs="Arial"/>
          <w:szCs w:val="22"/>
        </w:rPr>
        <w:t>0303 123 1113.</w:t>
      </w:r>
    </w:p>
    <w:p w14:paraId="58C957F5" w14:textId="77777777" w:rsidR="00E25FB5" w:rsidRDefault="00E25FB5" w:rsidP="003333E5">
      <w:pPr>
        <w:pStyle w:val="BodyText"/>
        <w:rPr>
          <w:rFonts w:cs="Arial"/>
          <w:szCs w:val="22"/>
        </w:rPr>
      </w:pPr>
      <w:r>
        <w:rPr>
          <w:rFonts w:cs="Arial"/>
          <w:szCs w:val="22"/>
        </w:rPr>
        <w:t xml:space="preserve">See </w:t>
      </w:r>
      <w:hyperlink r:id="rId16" w:history="1">
        <w:r w:rsidRPr="00995864">
          <w:rPr>
            <w:rStyle w:val="Hyperlink"/>
            <w:rFonts w:cs="Arial"/>
            <w:szCs w:val="22"/>
          </w:rPr>
          <w:t>https://ico.org.uk/concerns/</w:t>
        </w:r>
      </w:hyperlink>
    </w:p>
    <w:p w14:paraId="1DE9F79B" w14:textId="77777777" w:rsidR="00B70F76" w:rsidRPr="00DF13B2" w:rsidRDefault="00B70F76" w:rsidP="003333E5">
      <w:pPr>
        <w:pStyle w:val="BodyText"/>
        <w:rPr>
          <w:rFonts w:cs="Arial"/>
          <w:szCs w:val="22"/>
        </w:rPr>
      </w:pPr>
    </w:p>
    <w:p w14:paraId="33CCB992" w14:textId="77777777" w:rsidR="003678AE" w:rsidRPr="00DF13B2" w:rsidRDefault="003678AE" w:rsidP="003333E5">
      <w:pPr>
        <w:pStyle w:val="BodyText"/>
        <w:numPr>
          <w:ilvl w:val="0"/>
          <w:numId w:val="18"/>
        </w:numPr>
        <w:rPr>
          <w:rFonts w:cs="Arial"/>
          <w:b/>
          <w:szCs w:val="22"/>
        </w:rPr>
      </w:pPr>
      <w:r w:rsidRPr="00DF13B2">
        <w:rPr>
          <w:rFonts w:cs="Arial"/>
          <w:b/>
          <w:szCs w:val="22"/>
        </w:rPr>
        <w:t>The Health and Safety Executive</w:t>
      </w:r>
    </w:p>
    <w:p w14:paraId="4FF7DBB9" w14:textId="77777777" w:rsidR="003678AE" w:rsidRPr="00DF13B2" w:rsidRDefault="003678AE" w:rsidP="003333E5">
      <w:pPr>
        <w:pStyle w:val="BodyText"/>
        <w:rPr>
          <w:rFonts w:cs="Arial"/>
          <w:szCs w:val="22"/>
        </w:rPr>
      </w:pPr>
      <w:r w:rsidRPr="00DF13B2">
        <w:rPr>
          <w:rFonts w:cs="Arial"/>
          <w:szCs w:val="22"/>
        </w:rPr>
        <w:t>Areas dealt with:</w:t>
      </w:r>
      <w:r w:rsidR="00B70F76" w:rsidRPr="00DF13B2">
        <w:rPr>
          <w:rFonts w:cs="Arial"/>
          <w:szCs w:val="22"/>
        </w:rPr>
        <w:t xml:space="preserve"> </w:t>
      </w:r>
      <w:r w:rsidRPr="00DF13B2">
        <w:rPr>
          <w:rFonts w:cs="Arial"/>
          <w:szCs w:val="22"/>
        </w:rPr>
        <w:t>Matters which affect the health and safety of any individual at work; matters which may affect the health and safety of any member of the public arising out of, or in connection with, the activities of persons at work.</w:t>
      </w:r>
    </w:p>
    <w:p w14:paraId="72B51F32" w14:textId="77777777" w:rsidR="00B70F76" w:rsidRDefault="00B70F76" w:rsidP="003333E5">
      <w:pPr>
        <w:pStyle w:val="BodyText"/>
        <w:rPr>
          <w:rFonts w:cs="Arial"/>
          <w:szCs w:val="22"/>
        </w:rPr>
      </w:pPr>
    </w:p>
    <w:p w14:paraId="297ABCF3" w14:textId="77777777" w:rsidR="00E25FB5" w:rsidRDefault="00E25FB5" w:rsidP="003333E5">
      <w:pPr>
        <w:pStyle w:val="BodyText"/>
        <w:rPr>
          <w:rFonts w:cs="Arial"/>
          <w:szCs w:val="22"/>
        </w:rPr>
      </w:pPr>
      <w:r>
        <w:rPr>
          <w:rFonts w:cs="Arial"/>
          <w:szCs w:val="22"/>
        </w:rPr>
        <w:t xml:space="preserve">Telephone: </w:t>
      </w:r>
      <w:r w:rsidRPr="00E25FB5">
        <w:rPr>
          <w:rFonts w:cs="Arial"/>
          <w:szCs w:val="22"/>
        </w:rPr>
        <w:t>0300 003 1647</w:t>
      </w:r>
    </w:p>
    <w:p w14:paraId="299BECA0" w14:textId="59B034BA" w:rsidR="00DB3E50" w:rsidRDefault="00E25FB5" w:rsidP="003333E5">
      <w:pPr>
        <w:pStyle w:val="BodyText"/>
        <w:rPr>
          <w:rFonts w:cs="Arial"/>
          <w:szCs w:val="22"/>
        </w:rPr>
      </w:pPr>
      <w:r>
        <w:rPr>
          <w:rFonts w:cs="Arial"/>
          <w:szCs w:val="22"/>
        </w:rPr>
        <w:t xml:space="preserve">See </w:t>
      </w:r>
      <w:hyperlink r:id="rId17" w:history="1">
        <w:r w:rsidR="00DB3E50" w:rsidRPr="0065782B">
          <w:rPr>
            <w:rStyle w:val="Hyperlink"/>
            <w:rFonts w:cs="Arial"/>
            <w:szCs w:val="22"/>
          </w:rPr>
          <w:t>https://www.hse.gov.uk/contact/tell-us-about-a-health-and-safety-issue.htm</w:t>
        </w:r>
      </w:hyperlink>
    </w:p>
    <w:p w14:paraId="04CC1001" w14:textId="77777777" w:rsidR="00752284" w:rsidRPr="00DF13B2" w:rsidRDefault="00752284" w:rsidP="003333E5">
      <w:pPr>
        <w:pStyle w:val="BodyText"/>
        <w:rPr>
          <w:rFonts w:cs="Arial"/>
          <w:szCs w:val="22"/>
        </w:rPr>
      </w:pPr>
    </w:p>
    <w:p w14:paraId="1287F67A" w14:textId="77777777" w:rsidR="003678AE" w:rsidRPr="00DF13B2" w:rsidRDefault="003678AE" w:rsidP="003333E5">
      <w:pPr>
        <w:pStyle w:val="BodyText"/>
        <w:numPr>
          <w:ilvl w:val="0"/>
          <w:numId w:val="18"/>
        </w:numPr>
        <w:rPr>
          <w:rFonts w:cs="Arial"/>
          <w:b/>
          <w:szCs w:val="22"/>
        </w:rPr>
      </w:pPr>
      <w:r w:rsidRPr="00DF13B2">
        <w:rPr>
          <w:rFonts w:cs="Arial"/>
          <w:b/>
          <w:szCs w:val="22"/>
        </w:rPr>
        <w:t>H</w:t>
      </w:r>
      <w:r w:rsidR="00E25FB5">
        <w:rPr>
          <w:rFonts w:cs="Arial"/>
          <w:b/>
          <w:szCs w:val="22"/>
        </w:rPr>
        <w:t>M Revenue and Customs</w:t>
      </w:r>
    </w:p>
    <w:p w14:paraId="05075BAC" w14:textId="77777777" w:rsidR="003678AE" w:rsidRPr="00DF13B2" w:rsidRDefault="003678AE" w:rsidP="003333E5">
      <w:pPr>
        <w:pStyle w:val="BodyText"/>
        <w:rPr>
          <w:rFonts w:cs="Arial"/>
          <w:szCs w:val="22"/>
        </w:rPr>
      </w:pPr>
      <w:r w:rsidRPr="00DF13B2">
        <w:rPr>
          <w:rFonts w:cs="Arial"/>
          <w:szCs w:val="22"/>
        </w:rPr>
        <w:t>Areas dealt with:</w:t>
      </w:r>
      <w:r w:rsidR="003333E5" w:rsidRPr="00DF13B2">
        <w:rPr>
          <w:rFonts w:cs="Arial"/>
          <w:szCs w:val="22"/>
        </w:rPr>
        <w:t xml:space="preserve"> </w:t>
      </w:r>
      <w:r w:rsidRPr="00DF13B2">
        <w:rPr>
          <w:rFonts w:cs="Arial"/>
          <w:szCs w:val="22"/>
        </w:rPr>
        <w:t>Income tax, corporation tax, capital gains tax, petroleum revenue tax, inheritance tax, stamp duties, national insurance contributions, statutory maternity pay, statutory sick pay</w:t>
      </w:r>
      <w:r w:rsidR="003333E5" w:rsidRPr="00DF13B2">
        <w:rPr>
          <w:rFonts w:cs="Arial"/>
          <w:szCs w:val="22"/>
        </w:rPr>
        <w:t>.</w:t>
      </w:r>
    </w:p>
    <w:p w14:paraId="0654958D" w14:textId="77777777" w:rsidR="003333E5" w:rsidRDefault="003333E5" w:rsidP="00E25FB5">
      <w:pPr>
        <w:pStyle w:val="BodyText"/>
        <w:rPr>
          <w:rFonts w:cs="Arial"/>
          <w:szCs w:val="22"/>
        </w:rPr>
      </w:pPr>
    </w:p>
    <w:p w14:paraId="75FA014F" w14:textId="77777777" w:rsidR="00E25FB5" w:rsidRPr="00E25FB5" w:rsidRDefault="00E25FB5" w:rsidP="00E25FB5">
      <w:pPr>
        <w:pStyle w:val="BodyText"/>
        <w:rPr>
          <w:rFonts w:cs="Arial"/>
          <w:szCs w:val="22"/>
        </w:rPr>
      </w:pPr>
      <w:r w:rsidRPr="00E25FB5">
        <w:rPr>
          <w:rFonts w:cs="Arial"/>
          <w:szCs w:val="22"/>
        </w:rPr>
        <w:t>HMRC fraud hotline</w:t>
      </w:r>
      <w:r>
        <w:rPr>
          <w:rFonts w:cs="Arial"/>
          <w:szCs w:val="22"/>
        </w:rPr>
        <w:t>:</w:t>
      </w:r>
      <w:r w:rsidRPr="00E25FB5">
        <w:rPr>
          <w:rFonts w:cs="Arial"/>
          <w:szCs w:val="22"/>
        </w:rPr>
        <w:t xml:space="preserve"> 0800 788 887 </w:t>
      </w:r>
    </w:p>
    <w:p w14:paraId="131131A8" w14:textId="77777777" w:rsidR="00E25FB5" w:rsidRDefault="00E25FB5" w:rsidP="00E25FB5">
      <w:pPr>
        <w:pStyle w:val="BodyText"/>
        <w:rPr>
          <w:rFonts w:cs="Arial"/>
          <w:szCs w:val="22"/>
        </w:rPr>
      </w:pPr>
      <w:r>
        <w:rPr>
          <w:rFonts w:cs="Arial"/>
          <w:szCs w:val="22"/>
        </w:rPr>
        <w:t xml:space="preserve">See </w:t>
      </w:r>
      <w:hyperlink r:id="rId18" w:history="1">
        <w:r w:rsidRPr="00995864">
          <w:rPr>
            <w:rStyle w:val="Hyperlink"/>
            <w:rFonts w:cs="Arial"/>
            <w:szCs w:val="22"/>
          </w:rPr>
          <w:t>https://www.gov.uk/report-an-unregistered-trader-or-business</w:t>
        </w:r>
      </w:hyperlink>
    </w:p>
    <w:p w14:paraId="51C34F65" w14:textId="77777777" w:rsidR="00E25FB5" w:rsidRPr="00DF13B2" w:rsidRDefault="00E25FB5" w:rsidP="003333E5">
      <w:pPr>
        <w:pStyle w:val="BodyText"/>
        <w:rPr>
          <w:rFonts w:cs="Arial"/>
          <w:szCs w:val="22"/>
        </w:rPr>
      </w:pPr>
    </w:p>
    <w:p w14:paraId="4CC9BAEB" w14:textId="77777777" w:rsidR="003678AE" w:rsidRPr="00DF13B2" w:rsidRDefault="003678AE" w:rsidP="003333E5">
      <w:pPr>
        <w:pStyle w:val="BodyText"/>
        <w:numPr>
          <w:ilvl w:val="0"/>
          <w:numId w:val="18"/>
        </w:numPr>
        <w:rPr>
          <w:rFonts w:cs="Arial"/>
          <w:b/>
          <w:szCs w:val="22"/>
        </w:rPr>
      </w:pPr>
      <w:r w:rsidRPr="00DF13B2">
        <w:rPr>
          <w:rFonts w:cs="Arial"/>
          <w:b/>
          <w:szCs w:val="22"/>
        </w:rPr>
        <w:t>The Pensions Regulator</w:t>
      </w:r>
    </w:p>
    <w:p w14:paraId="7214B26B" w14:textId="77777777" w:rsidR="003678AE" w:rsidRPr="00DF13B2" w:rsidRDefault="003678AE" w:rsidP="00E25FB5">
      <w:pPr>
        <w:pStyle w:val="BodyText"/>
        <w:rPr>
          <w:rFonts w:cs="Arial"/>
          <w:szCs w:val="22"/>
        </w:rPr>
      </w:pPr>
      <w:r w:rsidRPr="00DF13B2">
        <w:rPr>
          <w:rFonts w:cs="Arial"/>
          <w:szCs w:val="22"/>
        </w:rPr>
        <w:t>Areas dealt with:</w:t>
      </w:r>
      <w:r w:rsidR="003333E5" w:rsidRPr="00DF13B2">
        <w:rPr>
          <w:rFonts w:cs="Arial"/>
          <w:szCs w:val="22"/>
        </w:rPr>
        <w:t xml:space="preserve"> </w:t>
      </w:r>
      <w:r w:rsidRPr="00DF13B2">
        <w:rPr>
          <w:rFonts w:cs="Arial"/>
          <w:szCs w:val="22"/>
        </w:rPr>
        <w:t>Matter relating to occupational pension schemes and other private pension arrangements.</w:t>
      </w:r>
    </w:p>
    <w:p w14:paraId="1F0DA60A" w14:textId="77777777" w:rsidR="00E25FB5" w:rsidRDefault="00E25FB5" w:rsidP="003333E5">
      <w:pPr>
        <w:pStyle w:val="BodyText"/>
        <w:rPr>
          <w:rFonts w:cs="Arial"/>
          <w:szCs w:val="22"/>
        </w:rPr>
      </w:pPr>
    </w:p>
    <w:p w14:paraId="69A78826" w14:textId="30873B87" w:rsidR="00E25FB5" w:rsidRDefault="00E25FB5" w:rsidP="003333E5">
      <w:pPr>
        <w:pStyle w:val="BodyText"/>
      </w:pPr>
      <w:r>
        <w:t>Telephone: 0345 600 7060.</w:t>
      </w:r>
    </w:p>
    <w:p w14:paraId="4F038501" w14:textId="606DEC0E" w:rsidR="00DB3E50" w:rsidRDefault="00AC5B9D" w:rsidP="003333E5">
      <w:pPr>
        <w:pStyle w:val="BodyText"/>
        <w:rPr>
          <w:rFonts w:cs="Arial"/>
          <w:szCs w:val="22"/>
        </w:rPr>
      </w:pPr>
      <w:hyperlink r:id="rId19" w:history="1">
        <w:r w:rsidR="00DB3E50" w:rsidRPr="0065782B">
          <w:rPr>
            <w:rStyle w:val="Hyperlink"/>
            <w:rFonts w:cs="Arial"/>
            <w:szCs w:val="22"/>
          </w:rPr>
          <w:t>https://www.thepensionsregulator.gov.uk/en/contact-us/scheme-members-who-to-contact/report-concerns-about-your-workplace-pension</w:t>
        </w:r>
      </w:hyperlink>
    </w:p>
    <w:p w14:paraId="52697994" w14:textId="77777777" w:rsidR="00E25FB5" w:rsidRDefault="00E25FB5" w:rsidP="003333E5">
      <w:pPr>
        <w:pStyle w:val="BodyText"/>
        <w:rPr>
          <w:rFonts w:cs="Arial"/>
          <w:szCs w:val="22"/>
        </w:rPr>
      </w:pPr>
    </w:p>
    <w:p w14:paraId="336A1435" w14:textId="6A0E6E4C" w:rsidR="003678AE" w:rsidRPr="00DF13B2" w:rsidRDefault="003678AE" w:rsidP="003333E5">
      <w:pPr>
        <w:pStyle w:val="BodyText"/>
        <w:rPr>
          <w:rFonts w:cs="Arial"/>
          <w:szCs w:val="22"/>
        </w:rPr>
      </w:pPr>
      <w:r w:rsidRPr="00DF13B2">
        <w:rPr>
          <w:rFonts w:cs="Arial"/>
          <w:szCs w:val="22"/>
        </w:rPr>
        <w:t>Telephone</w:t>
      </w:r>
      <w:r w:rsidR="00CE4E18">
        <w:rPr>
          <w:rFonts w:cs="Arial"/>
          <w:szCs w:val="22"/>
        </w:rPr>
        <w:t xml:space="preserve">: </w:t>
      </w:r>
      <w:r w:rsidR="00CE4E18" w:rsidRPr="00CE4E18">
        <w:rPr>
          <w:rFonts w:cs="Arial"/>
          <w:szCs w:val="22"/>
        </w:rPr>
        <w:t>0345 600 7060</w:t>
      </w:r>
      <w:r w:rsidRPr="00DF13B2">
        <w:rPr>
          <w:rFonts w:cs="Arial"/>
          <w:szCs w:val="22"/>
        </w:rPr>
        <w:tab/>
      </w:r>
    </w:p>
    <w:p w14:paraId="22D39D22" w14:textId="6454285B" w:rsidR="003333E5" w:rsidRDefault="003678AE" w:rsidP="003333E5">
      <w:pPr>
        <w:pStyle w:val="BodyText"/>
        <w:rPr>
          <w:rFonts w:cs="Arial"/>
          <w:szCs w:val="22"/>
        </w:rPr>
      </w:pPr>
      <w:r w:rsidRPr="00DF13B2">
        <w:rPr>
          <w:rFonts w:cs="Arial"/>
          <w:szCs w:val="22"/>
        </w:rPr>
        <w:t>E-mail:</w:t>
      </w:r>
      <w:r w:rsidR="003333E5" w:rsidRPr="00DF13B2">
        <w:rPr>
          <w:rFonts w:cs="Arial"/>
          <w:szCs w:val="22"/>
        </w:rPr>
        <w:t xml:space="preserve"> </w:t>
      </w:r>
      <w:hyperlink r:id="rId20" w:history="1">
        <w:r w:rsidR="000C7602" w:rsidRPr="00426C8C">
          <w:rPr>
            <w:rStyle w:val="Hyperlink"/>
            <w:rFonts w:cs="Arial"/>
            <w:szCs w:val="22"/>
          </w:rPr>
          <w:t>wb@tpr.gov.uk</w:t>
        </w:r>
      </w:hyperlink>
    </w:p>
    <w:p w14:paraId="2B3FF280" w14:textId="0C30D3E6" w:rsidR="003678AE" w:rsidRDefault="003678AE" w:rsidP="003333E5">
      <w:pPr>
        <w:pStyle w:val="BodyText"/>
        <w:rPr>
          <w:rFonts w:cs="Arial"/>
          <w:szCs w:val="22"/>
          <w:u w:val="single"/>
        </w:rPr>
      </w:pPr>
    </w:p>
    <w:p w14:paraId="483DC465" w14:textId="77777777" w:rsidR="000C7602" w:rsidRDefault="000C7602" w:rsidP="003333E5">
      <w:pPr>
        <w:pStyle w:val="BodyText"/>
        <w:rPr>
          <w:rFonts w:cs="Arial"/>
          <w:szCs w:val="22"/>
          <w:u w:val="single"/>
        </w:rPr>
      </w:pPr>
    </w:p>
    <w:p w14:paraId="4F46E779" w14:textId="7178897A" w:rsidR="003678AE" w:rsidRPr="00DF13B2" w:rsidRDefault="003678AE" w:rsidP="003333E5">
      <w:pPr>
        <w:pStyle w:val="BodyText"/>
        <w:rPr>
          <w:rFonts w:cs="Arial"/>
          <w:szCs w:val="22"/>
        </w:rPr>
      </w:pPr>
      <w:r w:rsidRPr="00DF13B2">
        <w:rPr>
          <w:rFonts w:cs="Arial"/>
          <w:szCs w:val="22"/>
        </w:rPr>
        <w:t>Please note this list is not exhaustive</w:t>
      </w:r>
      <w:r w:rsidR="009948AC">
        <w:rPr>
          <w:rFonts w:cs="Arial"/>
          <w:szCs w:val="22"/>
        </w:rPr>
        <w:t>. If you would like</w:t>
      </w:r>
      <w:r w:rsidRPr="00DF13B2">
        <w:rPr>
          <w:rFonts w:cs="Arial"/>
          <w:szCs w:val="22"/>
        </w:rPr>
        <w:t xml:space="preserve"> further information, speak to the </w:t>
      </w:r>
      <w:r w:rsidR="008142D5">
        <w:rPr>
          <w:rFonts w:cs="Arial"/>
          <w:szCs w:val="22"/>
        </w:rPr>
        <w:t>Chief Executive Offi</w:t>
      </w:r>
      <w:bookmarkStart w:id="0" w:name="_GoBack"/>
      <w:bookmarkEnd w:id="0"/>
      <w:r w:rsidR="008142D5">
        <w:rPr>
          <w:rFonts w:cs="Arial"/>
          <w:szCs w:val="22"/>
        </w:rPr>
        <w:t>cer</w:t>
      </w:r>
    </w:p>
    <w:sectPr w:rsidR="003678AE" w:rsidRPr="00DF13B2" w:rsidSect="00DB3E50">
      <w:footerReference w:type="default" r:id="rId21"/>
      <w:headerReference w:type="first" r:id="rId22"/>
      <w:footerReference w:type="first" r:id="rId23"/>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624EA" w14:textId="77777777" w:rsidR="00AC5B9D" w:rsidRDefault="00AC5B9D">
      <w:r>
        <w:separator/>
      </w:r>
    </w:p>
  </w:endnote>
  <w:endnote w:type="continuationSeparator" w:id="0">
    <w:p w14:paraId="77CC2D92" w14:textId="77777777" w:rsidR="00AC5B9D" w:rsidRDefault="00AC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05038648"/>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017A140A" w14:textId="77777777" w:rsidR="00002A36" w:rsidRPr="00002A36" w:rsidRDefault="00002A36">
            <w:pPr>
              <w:pStyle w:val="Footer"/>
              <w:jc w:val="center"/>
              <w:rPr>
                <w:rFonts w:ascii="Arial" w:hAnsi="Arial" w:cs="Arial"/>
              </w:rPr>
            </w:pPr>
            <w:r w:rsidRPr="00002A36">
              <w:rPr>
                <w:rFonts w:ascii="Arial" w:hAnsi="Arial" w:cs="Arial"/>
              </w:rPr>
              <w:t xml:space="preserve">Page </w:t>
            </w:r>
            <w:r w:rsidRPr="00002A36">
              <w:rPr>
                <w:rFonts w:ascii="Arial" w:hAnsi="Arial" w:cs="Arial"/>
                <w:bCs/>
              </w:rPr>
              <w:fldChar w:fldCharType="begin"/>
            </w:r>
            <w:r w:rsidRPr="00002A36">
              <w:rPr>
                <w:rFonts w:ascii="Arial" w:hAnsi="Arial" w:cs="Arial"/>
                <w:bCs/>
              </w:rPr>
              <w:instrText xml:space="preserve"> PAGE </w:instrText>
            </w:r>
            <w:r w:rsidRPr="00002A36">
              <w:rPr>
                <w:rFonts w:ascii="Arial" w:hAnsi="Arial" w:cs="Arial"/>
                <w:bCs/>
              </w:rPr>
              <w:fldChar w:fldCharType="separate"/>
            </w:r>
            <w:r w:rsidR="00906959">
              <w:rPr>
                <w:rFonts w:ascii="Arial" w:hAnsi="Arial" w:cs="Arial"/>
                <w:bCs/>
                <w:noProof/>
              </w:rPr>
              <w:t>3</w:t>
            </w:r>
            <w:r w:rsidRPr="00002A36">
              <w:rPr>
                <w:rFonts w:ascii="Arial" w:hAnsi="Arial" w:cs="Arial"/>
                <w:bCs/>
              </w:rPr>
              <w:fldChar w:fldCharType="end"/>
            </w:r>
            <w:r w:rsidRPr="00002A36">
              <w:rPr>
                <w:rFonts w:ascii="Arial" w:hAnsi="Arial" w:cs="Arial"/>
              </w:rPr>
              <w:t xml:space="preserve"> of </w:t>
            </w:r>
            <w:r w:rsidRPr="00002A36">
              <w:rPr>
                <w:rFonts w:ascii="Arial" w:hAnsi="Arial" w:cs="Arial"/>
                <w:bCs/>
              </w:rPr>
              <w:fldChar w:fldCharType="begin"/>
            </w:r>
            <w:r w:rsidRPr="00002A36">
              <w:rPr>
                <w:rFonts w:ascii="Arial" w:hAnsi="Arial" w:cs="Arial"/>
                <w:bCs/>
              </w:rPr>
              <w:instrText xml:space="preserve"> NUMPAGES  </w:instrText>
            </w:r>
            <w:r w:rsidRPr="00002A36">
              <w:rPr>
                <w:rFonts w:ascii="Arial" w:hAnsi="Arial" w:cs="Arial"/>
                <w:bCs/>
              </w:rPr>
              <w:fldChar w:fldCharType="separate"/>
            </w:r>
            <w:r w:rsidR="00906959">
              <w:rPr>
                <w:rFonts w:ascii="Arial" w:hAnsi="Arial" w:cs="Arial"/>
                <w:bCs/>
                <w:noProof/>
              </w:rPr>
              <w:t>6</w:t>
            </w:r>
            <w:r w:rsidRPr="00002A36">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15890" w14:textId="77777777" w:rsidR="003F135E" w:rsidRPr="003F135E" w:rsidRDefault="003F135E" w:rsidP="00002A36">
    <w:pPr>
      <w:pStyle w:val="Footer"/>
      <w:jc w:val="right"/>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3C108" w14:textId="77777777" w:rsidR="00AC5B9D" w:rsidRDefault="00AC5B9D">
      <w:r>
        <w:separator/>
      </w:r>
    </w:p>
  </w:footnote>
  <w:footnote w:type="continuationSeparator" w:id="0">
    <w:p w14:paraId="041FCA5A" w14:textId="77777777" w:rsidR="00AC5B9D" w:rsidRDefault="00AC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2C39" w14:textId="77777777" w:rsidR="003F135E" w:rsidRDefault="003F135E" w:rsidP="003F13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C4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A10C2A"/>
    <w:multiLevelType w:val="singleLevel"/>
    <w:tmpl w:val="7D242B20"/>
    <w:lvl w:ilvl="0">
      <w:start w:val="1"/>
      <w:numFmt w:val="decimal"/>
      <w:lvlText w:val="%1."/>
      <w:lvlJc w:val="left"/>
      <w:pPr>
        <w:tabs>
          <w:tab w:val="num" w:pos="390"/>
        </w:tabs>
        <w:ind w:left="390" w:hanging="390"/>
      </w:pPr>
      <w:rPr>
        <w:rFonts w:hint="default"/>
      </w:rPr>
    </w:lvl>
  </w:abstractNum>
  <w:abstractNum w:abstractNumId="2" w15:restartNumberingAfterBreak="0">
    <w:nsid w:val="0E7302C2"/>
    <w:multiLevelType w:val="singleLevel"/>
    <w:tmpl w:val="F7229B66"/>
    <w:lvl w:ilvl="0">
      <w:start w:val="1"/>
      <w:numFmt w:val="lowerLetter"/>
      <w:lvlText w:val="%1)"/>
      <w:lvlJc w:val="left"/>
      <w:pPr>
        <w:tabs>
          <w:tab w:val="num" w:pos="360"/>
        </w:tabs>
        <w:ind w:left="360" w:hanging="360"/>
      </w:pPr>
      <w:rPr>
        <w:rFonts w:hint="default"/>
      </w:rPr>
    </w:lvl>
  </w:abstractNum>
  <w:abstractNum w:abstractNumId="3" w15:restartNumberingAfterBreak="0">
    <w:nsid w:val="1D3645B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DE05A16"/>
    <w:multiLevelType w:val="hybridMultilevel"/>
    <w:tmpl w:val="7EE46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7B27AF"/>
    <w:multiLevelType w:val="multilevel"/>
    <w:tmpl w:val="8FC88CF8"/>
    <w:lvl w:ilvl="0">
      <w:start w:val="1"/>
      <w:numFmt w:val="low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22A5517D"/>
    <w:multiLevelType w:val="hybridMultilevel"/>
    <w:tmpl w:val="D3281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156CF0"/>
    <w:multiLevelType w:val="singleLevel"/>
    <w:tmpl w:val="04090011"/>
    <w:lvl w:ilvl="0">
      <w:start w:val="1"/>
      <w:numFmt w:val="decimal"/>
      <w:lvlText w:val="%1)"/>
      <w:lvlJc w:val="left"/>
      <w:pPr>
        <w:tabs>
          <w:tab w:val="num" w:pos="360"/>
        </w:tabs>
        <w:ind w:left="360" w:hanging="360"/>
      </w:pPr>
      <w:rPr>
        <w:rFonts w:hint="default"/>
      </w:rPr>
    </w:lvl>
  </w:abstractNum>
  <w:abstractNum w:abstractNumId="8" w15:restartNumberingAfterBreak="0">
    <w:nsid w:val="245D2C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416E5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B6B5095"/>
    <w:multiLevelType w:val="hybridMultilevel"/>
    <w:tmpl w:val="5D54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3771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3B724FB"/>
    <w:multiLevelType w:val="hybridMultilevel"/>
    <w:tmpl w:val="3C667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D007CC"/>
    <w:multiLevelType w:val="hybridMultilevel"/>
    <w:tmpl w:val="A094E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5E3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A7207B"/>
    <w:multiLevelType w:val="singleLevel"/>
    <w:tmpl w:val="0809000F"/>
    <w:lvl w:ilvl="0">
      <w:start w:val="1"/>
      <w:numFmt w:val="decimal"/>
      <w:lvlText w:val="%1."/>
      <w:lvlJc w:val="left"/>
      <w:pPr>
        <w:tabs>
          <w:tab w:val="num" w:pos="360"/>
        </w:tabs>
        <w:ind w:left="360" w:hanging="360"/>
      </w:pPr>
      <w:rPr>
        <w:rFonts w:hint="default"/>
      </w:rPr>
    </w:lvl>
  </w:abstractNum>
  <w:abstractNum w:abstractNumId="16" w15:restartNumberingAfterBreak="0">
    <w:nsid w:val="45417E7B"/>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59B7EA2"/>
    <w:multiLevelType w:val="hybridMultilevel"/>
    <w:tmpl w:val="CD107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0325E"/>
    <w:multiLevelType w:val="singleLevel"/>
    <w:tmpl w:val="0809000F"/>
    <w:lvl w:ilvl="0">
      <w:start w:val="1"/>
      <w:numFmt w:val="decimal"/>
      <w:lvlText w:val="%1."/>
      <w:lvlJc w:val="left"/>
      <w:pPr>
        <w:ind w:left="720" w:hanging="360"/>
      </w:pPr>
    </w:lvl>
  </w:abstractNum>
  <w:abstractNum w:abstractNumId="19" w15:restartNumberingAfterBreak="0">
    <w:nsid w:val="47BE0334"/>
    <w:multiLevelType w:val="hybridMultilevel"/>
    <w:tmpl w:val="49A84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5C77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DB7DD4"/>
    <w:multiLevelType w:val="hybridMultilevel"/>
    <w:tmpl w:val="E6FAC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C742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4D30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27419A"/>
    <w:multiLevelType w:val="hybridMultilevel"/>
    <w:tmpl w:val="3EDC1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9B3E2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AF24519"/>
    <w:multiLevelType w:val="hybridMultilevel"/>
    <w:tmpl w:val="2752C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58099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E2500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3527BE6"/>
    <w:multiLevelType w:val="hybridMultilevel"/>
    <w:tmpl w:val="E6F8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F25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DE4D59"/>
    <w:multiLevelType w:val="multilevel"/>
    <w:tmpl w:val="8FC88CF8"/>
    <w:lvl w:ilvl="0">
      <w:start w:val="1"/>
      <w:numFmt w:val="low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708A20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48D0E9E"/>
    <w:multiLevelType w:val="singleLevel"/>
    <w:tmpl w:val="D708E904"/>
    <w:lvl w:ilvl="0">
      <w:start w:val="1"/>
      <w:numFmt w:val="lowerLetter"/>
      <w:lvlText w:val="%1)"/>
      <w:lvlJc w:val="left"/>
      <w:pPr>
        <w:tabs>
          <w:tab w:val="num" w:pos="360"/>
        </w:tabs>
        <w:ind w:left="360" w:hanging="360"/>
      </w:pPr>
      <w:rPr>
        <w:rFonts w:hint="default"/>
      </w:rPr>
    </w:lvl>
  </w:abstractNum>
  <w:abstractNum w:abstractNumId="34" w15:restartNumberingAfterBreak="0">
    <w:nsid w:val="78B167A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E1F524D"/>
    <w:multiLevelType w:val="hybridMultilevel"/>
    <w:tmpl w:val="3A7CF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BC34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FA666D3"/>
    <w:multiLevelType w:val="hybridMultilevel"/>
    <w:tmpl w:val="8FC88CF8"/>
    <w:lvl w:ilvl="0" w:tplc="C988E1C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2"/>
  </w:num>
  <w:num w:numId="3">
    <w:abstractNumId w:val="25"/>
  </w:num>
  <w:num w:numId="4">
    <w:abstractNumId w:val="34"/>
  </w:num>
  <w:num w:numId="5">
    <w:abstractNumId w:val="28"/>
  </w:num>
  <w:num w:numId="6">
    <w:abstractNumId w:val="2"/>
  </w:num>
  <w:num w:numId="7">
    <w:abstractNumId w:val="3"/>
  </w:num>
  <w:num w:numId="8">
    <w:abstractNumId w:val="27"/>
  </w:num>
  <w:num w:numId="9">
    <w:abstractNumId w:val="9"/>
  </w:num>
  <w:num w:numId="10">
    <w:abstractNumId w:val="0"/>
  </w:num>
  <w:num w:numId="11">
    <w:abstractNumId w:val="11"/>
  </w:num>
  <w:num w:numId="12">
    <w:abstractNumId w:val="16"/>
  </w:num>
  <w:num w:numId="13">
    <w:abstractNumId w:val="22"/>
  </w:num>
  <w:num w:numId="14">
    <w:abstractNumId w:val="36"/>
  </w:num>
  <w:num w:numId="15">
    <w:abstractNumId w:val="23"/>
  </w:num>
  <w:num w:numId="16">
    <w:abstractNumId w:val="8"/>
  </w:num>
  <w:num w:numId="17">
    <w:abstractNumId w:val="30"/>
  </w:num>
  <w:num w:numId="18">
    <w:abstractNumId w:val="15"/>
  </w:num>
  <w:num w:numId="19">
    <w:abstractNumId w:val="7"/>
  </w:num>
  <w:num w:numId="20">
    <w:abstractNumId w:val="33"/>
  </w:num>
  <w:num w:numId="21">
    <w:abstractNumId w:val="1"/>
  </w:num>
  <w:num w:numId="22">
    <w:abstractNumId w:val="20"/>
  </w:num>
  <w:num w:numId="23">
    <w:abstractNumId w:val="14"/>
  </w:num>
  <w:num w:numId="24">
    <w:abstractNumId w:val="6"/>
  </w:num>
  <w:num w:numId="25">
    <w:abstractNumId w:val="29"/>
  </w:num>
  <w:num w:numId="26">
    <w:abstractNumId w:val="21"/>
  </w:num>
  <w:num w:numId="27">
    <w:abstractNumId w:val="26"/>
  </w:num>
  <w:num w:numId="28">
    <w:abstractNumId w:val="24"/>
  </w:num>
  <w:num w:numId="29">
    <w:abstractNumId w:val="35"/>
  </w:num>
  <w:num w:numId="30">
    <w:abstractNumId w:val="13"/>
  </w:num>
  <w:num w:numId="31">
    <w:abstractNumId w:val="37"/>
  </w:num>
  <w:num w:numId="32">
    <w:abstractNumId w:val="31"/>
  </w:num>
  <w:num w:numId="33">
    <w:abstractNumId w:val="5"/>
  </w:num>
  <w:num w:numId="34">
    <w:abstractNumId w:val="17"/>
  </w:num>
  <w:num w:numId="35">
    <w:abstractNumId w:val="10"/>
  </w:num>
  <w:num w:numId="36">
    <w:abstractNumId w:val="4"/>
  </w:num>
  <w:num w:numId="37">
    <w:abstractNumId w:val="19"/>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51A"/>
    <w:rsid w:val="00002A36"/>
    <w:rsid w:val="000245CD"/>
    <w:rsid w:val="00030DAF"/>
    <w:rsid w:val="00046A81"/>
    <w:rsid w:val="00054F78"/>
    <w:rsid w:val="00083752"/>
    <w:rsid w:val="0008654B"/>
    <w:rsid w:val="00093068"/>
    <w:rsid w:val="000C7602"/>
    <w:rsid w:val="000E3AEF"/>
    <w:rsid w:val="00102BD0"/>
    <w:rsid w:val="00102C92"/>
    <w:rsid w:val="00160807"/>
    <w:rsid w:val="00175BC3"/>
    <w:rsid w:val="00191364"/>
    <w:rsid w:val="00200E6B"/>
    <w:rsid w:val="002C2161"/>
    <w:rsid w:val="002D79F0"/>
    <w:rsid w:val="0031088B"/>
    <w:rsid w:val="003333E5"/>
    <w:rsid w:val="00340DB0"/>
    <w:rsid w:val="0035594C"/>
    <w:rsid w:val="003678AE"/>
    <w:rsid w:val="0037336F"/>
    <w:rsid w:val="003D16E9"/>
    <w:rsid w:val="003F135E"/>
    <w:rsid w:val="003F1594"/>
    <w:rsid w:val="00400B68"/>
    <w:rsid w:val="0043251A"/>
    <w:rsid w:val="00494CB3"/>
    <w:rsid w:val="004E7492"/>
    <w:rsid w:val="00500ED3"/>
    <w:rsid w:val="00505C79"/>
    <w:rsid w:val="00514136"/>
    <w:rsid w:val="005147DA"/>
    <w:rsid w:val="005675DB"/>
    <w:rsid w:val="00575DFD"/>
    <w:rsid w:val="00576C06"/>
    <w:rsid w:val="005B08BE"/>
    <w:rsid w:val="005B3A2C"/>
    <w:rsid w:val="006067D0"/>
    <w:rsid w:val="00606D44"/>
    <w:rsid w:val="00631BF9"/>
    <w:rsid w:val="006421F8"/>
    <w:rsid w:val="006515C1"/>
    <w:rsid w:val="00657CE0"/>
    <w:rsid w:val="006600EA"/>
    <w:rsid w:val="0067439C"/>
    <w:rsid w:val="0069023A"/>
    <w:rsid w:val="006B3DA9"/>
    <w:rsid w:val="006E2830"/>
    <w:rsid w:val="006F33B6"/>
    <w:rsid w:val="007422BD"/>
    <w:rsid w:val="00752284"/>
    <w:rsid w:val="00793112"/>
    <w:rsid w:val="007F50B8"/>
    <w:rsid w:val="008142D5"/>
    <w:rsid w:val="00831A11"/>
    <w:rsid w:val="008719FE"/>
    <w:rsid w:val="008C6B00"/>
    <w:rsid w:val="00906959"/>
    <w:rsid w:val="00922A17"/>
    <w:rsid w:val="00936026"/>
    <w:rsid w:val="009948AC"/>
    <w:rsid w:val="00996788"/>
    <w:rsid w:val="00A5063A"/>
    <w:rsid w:val="00A723D6"/>
    <w:rsid w:val="00AC5B9D"/>
    <w:rsid w:val="00AC7054"/>
    <w:rsid w:val="00AD6CF5"/>
    <w:rsid w:val="00AE4C5B"/>
    <w:rsid w:val="00AE7434"/>
    <w:rsid w:val="00B13E4D"/>
    <w:rsid w:val="00B211F0"/>
    <w:rsid w:val="00B2410F"/>
    <w:rsid w:val="00B70F76"/>
    <w:rsid w:val="00B826BE"/>
    <w:rsid w:val="00B962BD"/>
    <w:rsid w:val="00BA4F3D"/>
    <w:rsid w:val="00BE3BB7"/>
    <w:rsid w:val="00BF522E"/>
    <w:rsid w:val="00C65DA5"/>
    <w:rsid w:val="00C65DF1"/>
    <w:rsid w:val="00C678DC"/>
    <w:rsid w:val="00CB4998"/>
    <w:rsid w:val="00CE4E18"/>
    <w:rsid w:val="00CF3C7C"/>
    <w:rsid w:val="00D3352E"/>
    <w:rsid w:val="00D35004"/>
    <w:rsid w:val="00D47001"/>
    <w:rsid w:val="00D738D1"/>
    <w:rsid w:val="00DB09D3"/>
    <w:rsid w:val="00DB3E50"/>
    <w:rsid w:val="00DC6C30"/>
    <w:rsid w:val="00DD369D"/>
    <w:rsid w:val="00DF13B2"/>
    <w:rsid w:val="00E25FB5"/>
    <w:rsid w:val="00E32BD9"/>
    <w:rsid w:val="00E47B39"/>
    <w:rsid w:val="00EA7726"/>
    <w:rsid w:val="00EA7A57"/>
    <w:rsid w:val="00EE0AEE"/>
    <w:rsid w:val="00F02782"/>
    <w:rsid w:val="00F304D5"/>
    <w:rsid w:val="00F71E37"/>
    <w:rsid w:val="00F779A8"/>
    <w:rsid w:val="00FB0875"/>
    <w:rsid w:val="00FC015D"/>
    <w:rsid w:val="00FF7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E16EA"/>
  <w15:docId w15:val="{7A882C7F-76C9-4F0D-A16E-39BB4CC4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4C5B"/>
    <w:rPr>
      <w:lang w:eastAsia="en-US"/>
    </w:rPr>
  </w:style>
  <w:style w:type="paragraph" w:styleId="Heading1">
    <w:name w:val="heading 1"/>
    <w:basedOn w:val="Normal"/>
    <w:next w:val="Normal"/>
    <w:qFormat/>
    <w:rsid w:val="00AE4C5B"/>
    <w:pPr>
      <w:keepNext/>
      <w:outlineLvl w:val="0"/>
    </w:pPr>
    <w:rPr>
      <w:rFonts w:ascii="Arial" w:hAnsi="Arial"/>
      <w:sz w:val="24"/>
    </w:rPr>
  </w:style>
  <w:style w:type="paragraph" w:styleId="Heading2">
    <w:name w:val="heading 2"/>
    <w:basedOn w:val="Normal"/>
    <w:next w:val="Normal"/>
    <w:qFormat/>
    <w:rsid w:val="00AE4C5B"/>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E4C5B"/>
    <w:pPr>
      <w:jc w:val="center"/>
    </w:pPr>
    <w:rPr>
      <w:rFonts w:ascii="Arial" w:hAnsi="Arial"/>
      <w:b/>
      <w:sz w:val="24"/>
      <w:u w:val="single"/>
    </w:rPr>
  </w:style>
  <w:style w:type="paragraph" w:styleId="BodyText">
    <w:name w:val="Body Text"/>
    <w:basedOn w:val="Normal"/>
    <w:rsid w:val="00AE4C5B"/>
    <w:rPr>
      <w:rFonts w:ascii="Arial" w:hAnsi="Arial"/>
      <w:sz w:val="24"/>
    </w:rPr>
  </w:style>
  <w:style w:type="paragraph" w:styleId="Header">
    <w:name w:val="header"/>
    <w:basedOn w:val="Normal"/>
    <w:rsid w:val="00AE4C5B"/>
    <w:pPr>
      <w:tabs>
        <w:tab w:val="center" w:pos="4153"/>
        <w:tab w:val="right" w:pos="8306"/>
      </w:tabs>
    </w:pPr>
  </w:style>
  <w:style w:type="paragraph" w:styleId="Footer">
    <w:name w:val="footer"/>
    <w:basedOn w:val="Normal"/>
    <w:link w:val="FooterChar"/>
    <w:uiPriority w:val="99"/>
    <w:rsid w:val="00AE4C5B"/>
    <w:pPr>
      <w:tabs>
        <w:tab w:val="center" w:pos="4153"/>
        <w:tab w:val="right" w:pos="8306"/>
      </w:tabs>
    </w:pPr>
  </w:style>
  <w:style w:type="paragraph" w:styleId="BodyText2">
    <w:name w:val="Body Text 2"/>
    <w:basedOn w:val="Normal"/>
    <w:rsid w:val="00AE4C5B"/>
    <w:rPr>
      <w:rFonts w:ascii="Arial" w:hAnsi="Arial"/>
      <w:b/>
      <w:i/>
      <w:sz w:val="24"/>
    </w:rPr>
  </w:style>
  <w:style w:type="paragraph" w:styleId="BalloonText">
    <w:name w:val="Balloon Text"/>
    <w:basedOn w:val="Normal"/>
    <w:semiHidden/>
    <w:rsid w:val="0043251A"/>
    <w:rPr>
      <w:rFonts w:ascii="Tahoma" w:hAnsi="Tahoma" w:cs="Tahoma"/>
      <w:sz w:val="16"/>
      <w:szCs w:val="16"/>
    </w:rPr>
  </w:style>
  <w:style w:type="character" w:styleId="Hyperlink">
    <w:name w:val="Hyperlink"/>
    <w:basedOn w:val="DefaultParagraphFont"/>
    <w:rsid w:val="00B70F76"/>
    <w:rPr>
      <w:color w:val="0000FF"/>
      <w:u w:val="single"/>
    </w:rPr>
  </w:style>
  <w:style w:type="character" w:customStyle="1" w:styleId="FooterChar">
    <w:name w:val="Footer Char"/>
    <w:basedOn w:val="DefaultParagraphFont"/>
    <w:link w:val="Footer"/>
    <w:uiPriority w:val="99"/>
    <w:rsid w:val="00B962BD"/>
    <w:rPr>
      <w:lang w:eastAsia="en-US"/>
    </w:rPr>
  </w:style>
  <w:style w:type="paragraph" w:styleId="ListParagraph">
    <w:name w:val="List Paragraph"/>
    <w:basedOn w:val="Normal"/>
    <w:uiPriority w:val="34"/>
    <w:qFormat/>
    <w:rsid w:val="00EA7A57"/>
    <w:pPr>
      <w:ind w:left="720"/>
      <w:contextualSpacing/>
    </w:pPr>
  </w:style>
  <w:style w:type="character" w:styleId="FollowedHyperlink">
    <w:name w:val="FollowedHyperlink"/>
    <w:basedOn w:val="DefaultParagraphFont"/>
    <w:semiHidden/>
    <w:unhideWhenUsed/>
    <w:rsid w:val="00F304D5"/>
    <w:rPr>
      <w:color w:val="800080" w:themeColor="followedHyperlink"/>
      <w:u w:val="single"/>
    </w:rPr>
  </w:style>
  <w:style w:type="character" w:styleId="UnresolvedMention">
    <w:name w:val="Unresolved Mention"/>
    <w:basedOn w:val="DefaultParagraphFont"/>
    <w:uiPriority w:val="99"/>
    <w:semiHidden/>
    <w:unhideWhenUsed/>
    <w:rsid w:val="00D33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gov.uk/report-an-unregistered-trader-or-busines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elp@nspcc.org.uk" TargetMode="External"/><Relationship Id="rId17" Type="http://schemas.openxmlformats.org/officeDocument/2006/relationships/hyperlink" Target="https://www.hse.gov.uk/contact/tell-us-about-a-health-and-safety-issue.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yperlink" Target="mailto:wb@tpr.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uidance/whistleblowing-guidance-for-charity-employe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thepensionsregulator.gov.uk/en/contact-us/scheme-members-who-to-contact/report-concerns-about-your-workplace-pen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histleblowing@charitycommission.gov.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776e69-3826-4d4d-ac65-4c36a1aaa1fb">
      <Terms xmlns="http://schemas.microsoft.com/office/infopath/2007/PartnerControls"/>
    </lcf76f155ced4ddcb4097134ff3c332f>
    <TaxCatchAll xmlns="6b260550-f4cd-4c3f-bf97-cbef1e137d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0D4BE393D6B642A61C427727B03E22" ma:contentTypeVersion="17" ma:contentTypeDescription="Create a new document." ma:contentTypeScope="" ma:versionID="eaa3ef8b23817f94d329c9993b64eb18">
  <xsd:schema xmlns:xsd="http://www.w3.org/2001/XMLSchema" xmlns:xs="http://www.w3.org/2001/XMLSchema" xmlns:p="http://schemas.microsoft.com/office/2006/metadata/properties" xmlns:ns2="28776e69-3826-4d4d-ac65-4c36a1aaa1fb" xmlns:ns3="6b260550-f4cd-4c3f-bf97-cbef1e137d7a" targetNamespace="http://schemas.microsoft.com/office/2006/metadata/properties" ma:root="true" ma:fieldsID="259cc7275a426b944028476296670b86" ns2:_="" ns3:_="">
    <xsd:import namespace="28776e69-3826-4d4d-ac65-4c36a1aaa1fb"/>
    <xsd:import namespace="6b260550-f4cd-4c3f-bf97-cbef1e137d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76e69-3826-4d4d-ac65-4c36a1aaa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9ea223b-5e64-4b5a-9283-4edcb3d720a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60550-f4cd-4c3f-bf97-cbef1e137d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8ea6a5-ea96-4d06-8bbd-6e8c950b5741}" ma:internalName="TaxCatchAll" ma:showField="CatchAllData" ma:web="6b260550-f4cd-4c3f-bf97-cbef1e137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F9D69-1F1E-4314-A49B-ED02F82A88FF}">
  <ds:schemaRefs>
    <ds:schemaRef ds:uri="http://schemas.microsoft.com/office/2006/metadata/properties"/>
    <ds:schemaRef ds:uri="http://schemas.microsoft.com/office/infopath/2007/PartnerControls"/>
    <ds:schemaRef ds:uri="28776e69-3826-4d4d-ac65-4c36a1aaa1fb"/>
    <ds:schemaRef ds:uri="6b260550-f4cd-4c3f-bf97-cbef1e137d7a"/>
  </ds:schemaRefs>
</ds:datastoreItem>
</file>

<file path=customXml/itemProps2.xml><?xml version="1.0" encoding="utf-8"?>
<ds:datastoreItem xmlns:ds="http://schemas.openxmlformats.org/officeDocument/2006/customXml" ds:itemID="{EA2B4701-0EA5-4E82-9837-172E5CFBE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76e69-3826-4d4d-ac65-4c36a1aaa1fb"/>
    <ds:schemaRef ds:uri="6b260550-f4cd-4c3f-bf97-cbef1e137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E6515-9F9A-4893-A6CA-F49CCDF47B80}">
  <ds:schemaRefs>
    <ds:schemaRef ds:uri="http://schemas.microsoft.com/sharepoint/v3/contenttype/forms"/>
  </ds:schemaRefs>
</ds:datastoreItem>
</file>

<file path=customXml/itemProps4.xml><?xml version="1.0" encoding="utf-8"?>
<ds:datastoreItem xmlns:ds="http://schemas.openxmlformats.org/officeDocument/2006/customXml" ds:itemID="{B60306FC-1534-46A5-B6B4-D52C1200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WHISTLEBLOWING</vt:lpstr>
    </vt:vector>
  </TitlesOfParts>
  <Company>MIH</Company>
  <LinksUpToDate>false</LinksUpToDate>
  <CharactersWithSpaces>12029</CharactersWithSpaces>
  <SharedDoc>false</SharedDoc>
  <HLinks>
    <vt:vector size="18" baseType="variant">
      <vt:variant>
        <vt:i4>4456483</vt:i4>
      </vt:variant>
      <vt:variant>
        <vt:i4>6</vt:i4>
      </vt:variant>
      <vt:variant>
        <vt:i4>0</vt:i4>
      </vt:variant>
      <vt:variant>
        <vt:i4>5</vt:i4>
      </vt:variant>
      <vt:variant>
        <vt:lpwstr>mailto:helpdesk@opra.gov.uk</vt:lpwstr>
      </vt:variant>
      <vt:variant>
        <vt:lpwstr/>
      </vt:variant>
      <vt:variant>
        <vt:i4>3670119</vt:i4>
      </vt:variant>
      <vt:variant>
        <vt:i4>3</vt:i4>
      </vt:variant>
      <vt:variant>
        <vt:i4>0</vt:i4>
      </vt:variant>
      <vt:variant>
        <vt:i4>5</vt:i4>
      </vt:variant>
      <vt:variant>
        <vt:lpwstr>http://www.hse.gov.uk/riddor/report.htm</vt:lpwstr>
      </vt:variant>
      <vt:variant>
        <vt:lpwstr/>
      </vt:variant>
      <vt:variant>
        <vt:i4>3997795</vt:i4>
      </vt:variant>
      <vt:variant>
        <vt:i4>0</vt:i4>
      </vt:variant>
      <vt:variant>
        <vt:i4>0</vt:i4>
      </vt:variant>
      <vt:variant>
        <vt:i4>5</vt:i4>
      </vt:variant>
      <vt:variant>
        <vt:lpwstr>http://www.charitycommission.gov.uk/complaints/complaints.aspx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dc:title>
  <dc:subject/>
  <dc:creator>smg</dc:creator>
  <cp:keywords/>
  <cp:lastModifiedBy>David Hobday</cp:lastModifiedBy>
  <cp:revision>6</cp:revision>
  <cp:lastPrinted>2011-07-25T16:21:00Z</cp:lastPrinted>
  <dcterms:created xsi:type="dcterms:W3CDTF">2024-03-04T10:16:00Z</dcterms:created>
  <dcterms:modified xsi:type="dcterms:W3CDTF">2024-04-15T10:31:00Z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0x010100790D4BE393D6B642A61C427727B03E22</vt:lpwstr>
  </property>
  <property fmtid="{D5CDD505-2E9C-101B-9397-08002B2CF9AE}" pid="3" name="Order">
    <vt:r8>16000</vt:r8>
  </property>
  <property fmtid="{D5CDD505-2E9C-101B-9397-08002B2CF9AE}" pid="4" name="MediaServiceImageTags">
    <vt:lpwstr/>
  </property>
</Properties>
</file>